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7E" w:rsidRPr="00411294" w:rsidRDefault="000A1C9F" w:rsidP="00A2747E">
      <w:pPr>
        <w:jc w:val="both"/>
        <w:rPr>
          <w:sz w:val="28"/>
          <w:szCs w:val="28"/>
        </w:rPr>
      </w:pPr>
      <w:r>
        <w:rPr>
          <w:color w:val="00B0F0"/>
          <w:sz w:val="28"/>
          <w:szCs w:val="28"/>
        </w:rPr>
        <w:t>L</w:t>
      </w:r>
      <w:r w:rsidR="00062593">
        <w:rPr>
          <w:color w:val="00B0F0"/>
          <w:sz w:val="28"/>
          <w:szCs w:val="28"/>
        </w:rPr>
        <w:t xml:space="preserve">es </w:t>
      </w:r>
      <w:r w:rsidR="00CE6A9C">
        <w:rPr>
          <w:color w:val="00B0F0"/>
          <w:sz w:val="28"/>
          <w:szCs w:val="28"/>
        </w:rPr>
        <w:t>Hôpitaux s’impliquent</w:t>
      </w:r>
      <w:r>
        <w:rPr>
          <w:color w:val="00B0F0"/>
          <w:sz w:val="28"/>
          <w:szCs w:val="28"/>
        </w:rPr>
        <w:t xml:space="preserve"> </w:t>
      </w:r>
      <w:r w:rsidRPr="000A1C9F">
        <w:rPr>
          <w:color w:val="00B0F0"/>
          <w:sz w:val="28"/>
          <w:szCs w:val="28"/>
        </w:rPr>
        <w:t xml:space="preserve">pour l'insertion des personnes </w:t>
      </w:r>
      <w:r w:rsidR="00CE6A9C" w:rsidRPr="000A1C9F">
        <w:rPr>
          <w:color w:val="00B0F0"/>
          <w:sz w:val="28"/>
          <w:szCs w:val="28"/>
        </w:rPr>
        <w:t>handic</w:t>
      </w:r>
      <w:r w:rsidR="00CE6A9C">
        <w:rPr>
          <w:color w:val="00B0F0"/>
          <w:sz w:val="28"/>
          <w:szCs w:val="28"/>
        </w:rPr>
        <w:t>apées avec</w:t>
      </w:r>
      <w:r w:rsidR="00062593">
        <w:rPr>
          <w:color w:val="00B0F0"/>
          <w:sz w:val="28"/>
          <w:szCs w:val="28"/>
        </w:rPr>
        <w:t xml:space="preserve"> le </w:t>
      </w:r>
      <w:r w:rsidR="00F56FF1" w:rsidRPr="000A1C9F">
        <w:rPr>
          <w:color w:val="00B0F0"/>
          <w:sz w:val="28"/>
          <w:szCs w:val="28"/>
        </w:rPr>
        <w:t>FIPHFP</w:t>
      </w:r>
    </w:p>
    <w:p w:rsidR="000A44C9" w:rsidRDefault="000A44C9" w:rsidP="000A44C9">
      <w:pPr>
        <w:jc w:val="both"/>
      </w:pPr>
      <w:r>
        <w:t>Le jeudi 28 mars 2024, le Centre Hospitalier Intercommunal Toulon/La Seyne sur mer et le Centre Hospitalier de Hyères, en direction commune, signeront officiellement leur première convention triennale (2024</w:t>
      </w:r>
      <w:r w:rsidR="00CE6A9C">
        <w:t>-</w:t>
      </w:r>
      <w:r>
        <w:t xml:space="preserve">2027) avec le Fonds pour l’insertion des personnes handicapées de la Fonction publique </w:t>
      </w:r>
      <w:r w:rsidR="00CE6A9C">
        <w:t>(</w:t>
      </w:r>
      <w:r>
        <w:t>FIPHFP</w:t>
      </w:r>
      <w:r w:rsidR="00CE6A9C">
        <w:t>)</w:t>
      </w:r>
      <w:r>
        <w:t>, en présence de Yann LE BRAS, Directeur du CHITS – CHH et Mme Marine NEUVILLE, Directrice du FIPHFP.</w:t>
      </w:r>
    </w:p>
    <w:p w:rsidR="000A44C9" w:rsidRDefault="000A44C9" w:rsidP="000A44C9">
      <w:pPr>
        <w:jc w:val="both"/>
      </w:pPr>
      <w:r>
        <w:t>Les deux établissements sont engagés depuis plusieurs années pour améliorer l'emploi et les conditions de travail des professionnels de santé en situation de handicap.</w:t>
      </w:r>
    </w:p>
    <w:p w:rsidR="000A44C9" w:rsidRDefault="000A44C9" w:rsidP="000A44C9">
      <w:pPr>
        <w:jc w:val="both"/>
      </w:pPr>
      <w:r>
        <w:t>Depuis 2019, le taux d’emploi des personnes en situation d’handicap est en constan</w:t>
      </w:r>
      <w:r w:rsidR="00DF7414">
        <w:t>t</w:t>
      </w:r>
      <w:r>
        <w:t>e augmentation et dépasse les 6% réglementaire</w:t>
      </w:r>
      <w:r w:rsidR="00071A9A">
        <w:t>s</w:t>
      </w:r>
      <w:r>
        <w:t>.</w:t>
      </w:r>
    </w:p>
    <w:p w:rsidR="000B513B" w:rsidRDefault="0089324D" w:rsidP="0089324D">
      <w:pPr>
        <w:jc w:val="both"/>
      </w:pPr>
      <w:r w:rsidRPr="0089324D">
        <w:t>Le taux commun</w:t>
      </w:r>
      <w:r w:rsidR="00207218" w:rsidRPr="00207218">
        <w:t xml:space="preserve"> des déclarations des bénéficiaires de l'obligation d'emploi</w:t>
      </w:r>
      <w:r w:rsidRPr="0089324D">
        <w:t xml:space="preserve"> </w:t>
      </w:r>
      <w:r w:rsidR="00207218">
        <w:t>(</w:t>
      </w:r>
      <w:r w:rsidRPr="0089324D">
        <w:t>BOE</w:t>
      </w:r>
      <w:r w:rsidR="00207218">
        <w:t>)</w:t>
      </w:r>
      <w:r w:rsidRPr="0089324D">
        <w:t xml:space="preserve"> CHITS</w:t>
      </w:r>
      <w:r w:rsidR="00207218">
        <w:t>-</w:t>
      </w:r>
      <w:r w:rsidRPr="0089324D">
        <w:t xml:space="preserve">CHH est de </w:t>
      </w:r>
    </w:p>
    <w:p w:rsidR="000A44C9" w:rsidRPr="0089324D" w:rsidRDefault="0089324D" w:rsidP="0089324D">
      <w:pPr>
        <w:jc w:val="both"/>
      </w:pPr>
      <w:r w:rsidRPr="0089324D">
        <w:t>8, 48 % pour 2023</w:t>
      </w:r>
      <w:r w:rsidR="00207218">
        <w:t>.</w:t>
      </w:r>
      <w:bookmarkStart w:id="0" w:name="_GoBack"/>
      <w:bookmarkEnd w:id="0"/>
    </w:p>
    <w:p w:rsidR="000A44C9" w:rsidRDefault="00CE6A9C" w:rsidP="00CE6A9C">
      <w:r>
        <w:t>Cette augmentation</w:t>
      </w:r>
      <w:r w:rsidR="000A44C9">
        <w:t xml:space="preserve"> constante </w:t>
      </w:r>
      <w:r w:rsidR="00062593">
        <w:t xml:space="preserve">est </w:t>
      </w:r>
      <w:r>
        <w:t>notamment liée</w:t>
      </w:r>
      <w:r w:rsidR="00062593">
        <w:t xml:space="preserve"> </w:t>
      </w:r>
      <w:r w:rsidR="000A44C9">
        <w:t>à la création du dispositif Handicap et Maintien En emploi qui a permis une nette augmentation des déclarations des</w:t>
      </w:r>
      <w:r w:rsidR="00062593">
        <w:t xml:space="preserve"> </w:t>
      </w:r>
      <w:r w:rsidR="00300099" w:rsidRPr="00300099">
        <w:t>bénéficiaires de l'obligation d'emploi</w:t>
      </w:r>
      <w:r w:rsidR="00300099" w:rsidRPr="00300099" w:rsidDel="00300099">
        <w:t xml:space="preserve"> </w:t>
      </w:r>
      <w:r>
        <w:t>(</w:t>
      </w:r>
      <w:r>
        <w:t>BOE</w:t>
      </w:r>
      <w:r>
        <w:t>).</w:t>
      </w:r>
    </w:p>
    <w:p w:rsidR="000A44C9" w:rsidRDefault="000A44C9" w:rsidP="00CE6A9C">
      <w:pPr>
        <w:jc w:val="both"/>
      </w:pPr>
      <w:r>
        <w:t>L</w:t>
      </w:r>
      <w:r>
        <w:t>e CHITS et le CH d’Hyères ont fait d</w:t>
      </w:r>
      <w:r w:rsidR="00062593">
        <w:t xml:space="preserve">e l’insertion des personnes handicapées </w:t>
      </w:r>
      <w:r>
        <w:t xml:space="preserve">un axe fort de la politique de ressources humaines et ont souhaité s’engager plus durablement en proposant leur candidature auprès du Fonds pour l’insertion des personnes handicapées de la Fonction publique (FIPHFP). </w:t>
      </w:r>
      <w:r w:rsidR="00A41D2B" w:rsidRPr="00A41D2B">
        <w:t>Ce conventionnement, établi à partir d’un diagnostic de situation précis, validé en Comité de pilotage régional le 14/12/2023, doit permettre de structurer une véritable politique handicap commune, inscrite dans le temps et sur la base d’un plan d’actions.</w:t>
      </w:r>
    </w:p>
    <w:p w:rsidR="000A44C9" w:rsidRDefault="000A44C9" w:rsidP="000A44C9">
      <w:pPr>
        <w:jc w:val="both"/>
      </w:pPr>
      <w:r>
        <w:t>Le conventionnement avec le FIPHFP marque ainsi une étape importante pour les deux établissements et permettra de structurer une véritable politique handicap commune, inscrite dans le temps et sur la base d’un plan d’actions. Il est un levier supplémentaire pour la déclinaison du projet social de 2023-2027.</w:t>
      </w:r>
    </w:p>
    <w:p w:rsidR="0092350B" w:rsidRDefault="0092350B" w:rsidP="000A44C9">
      <w:pPr>
        <w:jc w:val="both"/>
      </w:pPr>
    </w:p>
    <w:p w:rsidR="0092350B" w:rsidRDefault="0092350B" w:rsidP="000A44C9">
      <w:pPr>
        <w:jc w:val="both"/>
      </w:pPr>
    </w:p>
    <w:p w:rsidR="0092350B" w:rsidRDefault="0092350B" w:rsidP="000A44C9">
      <w:pPr>
        <w:jc w:val="both"/>
      </w:pPr>
    </w:p>
    <w:p w:rsidR="0092350B" w:rsidRDefault="0092350B" w:rsidP="000A44C9">
      <w:pPr>
        <w:jc w:val="both"/>
      </w:pPr>
    </w:p>
    <w:p w:rsidR="0092350B" w:rsidRDefault="0092350B" w:rsidP="000A44C9">
      <w:pPr>
        <w:jc w:val="both"/>
      </w:pPr>
    </w:p>
    <w:p w:rsidR="0092350B" w:rsidRDefault="0092350B" w:rsidP="000A44C9">
      <w:pPr>
        <w:jc w:val="both"/>
      </w:pPr>
    </w:p>
    <w:p w:rsidR="0092350B" w:rsidRDefault="0092350B" w:rsidP="000A44C9">
      <w:pPr>
        <w:jc w:val="both"/>
      </w:pPr>
    </w:p>
    <w:p w:rsidR="0092350B" w:rsidRDefault="0092350B" w:rsidP="000A44C9">
      <w:pPr>
        <w:jc w:val="both"/>
      </w:pPr>
    </w:p>
    <w:p w:rsidR="000A44C9" w:rsidRDefault="000A44C9" w:rsidP="000A44C9">
      <w:pPr>
        <w:jc w:val="both"/>
      </w:pPr>
      <w:r>
        <w:t>Par ce conventionnement, il s'agit désormais de mettre en place des mesures et des dispositifs visant à soutenir les personnels en situation de fragilité, que ce soit à la suite d'une maladie, d'un handicap ou d'autres facteurs limitant leur capacité à travailler. Afin de valoriser ces actions, pérenniser cette démarche inclusive et développer une prévention de l'usure des professionnels de santé, la direction s'engage dans ce conventionnement avec le FIPHFP avec les objectifs suivants :</w:t>
      </w:r>
    </w:p>
    <w:p w:rsidR="000A44C9" w:rsidRDefault="000A44C9" w:rsidP="00DF5775">
      <w:pPr>
        <w:pStyle w:val="Paragraphedeliste"/>
        <w:numPr>
          <w:ilvl w:val="0"/>
          <w:numId w:val="20"/>
        </w:numPr>
        <w:jc w:val="both"/>
      </w:pPr>
      <w:r>
        <w:t>Structurer une démarche commune et concertée qui mobilise l’ensemble des agents des établissements,</w:t>
      </w:r>
    </w:p>
    <w:p w:rsidR="000A44C9" w:rsidRDefault="000A44C9" w:rsidP="00DF5775">
      <w:pPr>
        <w:pStyle w:val="Paragraphedeliste"/>
        <w:numPr>
          <w:ilvl w:val="0"/>
          <w:numId w:val="20"/>
        </w:numPr>
        <w:jc w:val="both"/>
      </w:pPr>
      <w:r>
        <w:t>Poser des objectifs précis en matière de recrutement de nouveaux bénéficiaires de l’Obligation de l’Emploi en privilégiant le recours à l’apprentissage,</w:t>
      </w:r>
    </w:p>
    <w:p w:rsidR="000A44C9" w:rsidRDefault="000A44C9" w:rsidP="000D0A26">
      <w:pPr>
        <w:pStyle w:val="Paragraphedeliste"/>
        <w:numPr>
          <w:ilvl w:val="0"/>
          <w:numId w:val="20"/>
        </w:numPr>
        <w:jc w:val="both"/>
      </w:pPr>
      <w:r>
        <w:t>Développer et renforcer les dispositifs de reclassement notamment via</w:t>
      </w:r>
      <w:r w:rsidR="000D0A26" w:rsidRPr="000D0A26">
        <w:t xml:space="preserve"> la Période de préparation au reclassement (PPR)</w:t>
      </w:r>
      <w:r>
        <w:t xml:space="preserve"> </w:t>
      </w:r>
    </w:p>
    <w:p w:rsidR="000A44C9" w:rsidRDefault="000A44C9" w:rsidP="00DF5775">
      <w:pPr>
        <w:pStyle w:val="Paragraphedeliste"/>
        <w:numPr>
          <w:ilvl w:val="0"/>
          <w:numId w:val="20"/>
        </w:numPr>
        <w:jc w:val="both"/>
      </w:pPr>
      <w:r>
        <w:t>Maintenir le niveau de performance des actions de maintien en emploi,</w:t>
      </w:r>
    </w:p>
    <w:p w:rsidR="000A44C9" w:rsidRDefault="000A44C9" w:rsidP="00DF5775">
      <w:pPr>
        <w:pStyle w:val="Paragraphedeliste"/>
        <w:numPr>
          <w:ilvl w:val="0"/>
          <w:numId w:val="20"/>
        </w:numPr>
        <w:jc w:val="both"/>
      </w:pPr>
      <w:r>
        <w:t>Sensibiliser, informer, et former l’ensemble des acteurs sur le handicap au travail visant à promouvoir un environnement de travail inclusif et qui prend en compte les singularités de chacun au service du collectif.</w:t>
      </w:r>
    </w:p>
    <w:p w:rsidR="000A44C9" w:rsidRDefault="000A44C9" w:rsidP="00DF5775">
      <w:pPr>
        <w:pStyle w:val="Paragraphedeliste"/>
        <w:numPr>
          <w:ilvl w:val="0"/>
          <w:numId w:val="20"/>
        </w:numPr>
        <w:jc w:val="both"/>
      </w:pPr>
      <w:r>
        <w:t>Engager une démarche volontariste visant à mieux répondre aux obligations d’accessibilité prévues par la loi du 11 février 2005 en particulier en matière numérique.</w:t>
      </w:r>
    </w:p>
    <w:p w:rsidR="000A44C9" w:rsidRDefault="000A44C9" w:rsidP="000A44C9">
      <w:pPr>
        <w:jc w:val="both"/>
      </w:pPr>
      <w:r>
        <w:t>Ce plan d’action ambitieux d’un montant de 1 028 127 € sera cofinancé à hauteur :</w:t>
      </w:r>
    </w:p>
    <w:p w:rsidR="000A44C9" w:rsidRDefault="000A44C9" w:rsidP="000A44C9">
      <w:pPr>
        <w:jc w:val="both"/>
      </w:pPr>
      <w:r>
        <w:t>701</w:t>
      </w:r>
      <w:r w:rsidR="00062593">
        <w:t xml:space="preserve"> </w:t>
      </w:r>
      <w:r>
        <w:t>108 € soit 68,19 % par le FIPHFP,</w:t>
      </w:r>
    </w:p>
    <w:p w:rsidR="000A44C9" w:rsidRDefault="000A44C9" w:rsidP="000A44C9">
      <w:pPr>
        <w:jc w:val="both"/>
      </w:pPr>
      <w:r>
        <w:t>327 019 € soit 31.81 % par le CHITS – CHH.</w:t>
      </w: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92350B" w:rsidRDefault="0092350B" w:rsidP="000A44C9">
      <w:pPr>
        <w:jc w:val="both"/>
        <w:rPr>
          <w:b/>
          <w:color w:val="00B0F0"/>
        </w:rPr>
      </w:pPr>
    </w:p>
    <w:p w:rsidR="000A44C9" w:rsidRPr="00DF5775" w:rsidRDefault="000A44C9" w:rsidP="000A44C9">
      <w:pPr>
        <w:jc w:val="both"/>
        <w:rPr>
          <w:b/>
        </w:rPr>
      </w:pPr>
      <w:r w:rsidRPr="00DF5775">
        <w:rPr>
          <w:b/>
          <w:color w:val="00B0F0"/>
        </w:rPr>
        <w:t>À propos du FIPHFP</w:t>
      </w:r>
    </w:p>
    <w:p w:rsidR="000A44C9" w:rsidRPr="00DF5775" w:rsidRDefault="000A44C9" w:rsidP="000A44C9">
      <w:pPr>
        <w:jc w:val="both"/>
        <w:rPr>
          <w:b/>
        </w:rPr>
      </w:pPr>
      <w:r w:rsidRPr="00DF5775">
        <w:rPr>
          <w:b/>
        </w:rPr>
        <w:t>Le FIPHFP, au service des employeurs publics</w:t>
      </w:r>
    </w:p>
    <w:p w:rsidR="000A44C9" w:rsidRDefault="000A44C9" w:rsidP="000A44C9">
      <w:pPr>
        <w:jc w:val="both"/>
      </w:pPr>
      <w:r>
        <w:t>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rsidR="000A44C9" w:rsidRDefault="000A44C9" w:rsidP="000A44C9">
      <w:pPr>
        <w:jc w:val="both"/>
      </w:pPr>
      <w:r>
        <w:t>Depuis sa création, le taux d’emploi dans la Fonction publique est passé de 3,55 % en 2006 à 5,45 % en 2022. Dans la territoriale, les collectivités remplissent leur obligation légale avec un taux de 6,72 % contre 5,53 % pour l’hospitalière et 4,36 % pour l’État.</w:t>
      </w:r>
    </w:p>
    <w:p w:rsidR="000A44C9" w:rsidRDefault="000A44C9" w:rsidP="000A44C9">
      <w:pPr>
        <w:jc w:val="both"/>
      </w:pPr>
      <w: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rsidR="0054331D" w:rsidRDefault="000A44C9" w:rsidP="000A44C9">
      <w:pPr>
        <w:jc w:val="both"/>
        <w:rPr>
          <w:b/>
          <w:color w:val="00B0F0"/>
        </w:rPr>
      </w:pPr>
      <w:r>
        <w:t xml:space="preserve">Plus d’informations sur </w:t>
      </w:r>
      <w:hyperlink r:id="rId8" w:history="1">
        <w:r w:rsidR="00DF5775" w:rsidRPr="009E67E4">
          <w:rPr>
            <w:rStyle w:val="Lienhypertexte"/>
          </w:rPr>
          <w:t>www.fiphfp.fr</w:t>
        </w:r>
      </w:hyperlink>
      <w:r w:rsidR="00DF5775">
        <w:t xml:space="preserve"> / </w:t>
      </w:r>
      <w:r>
        <w:t>Suivez le FIPHFP sur les réseaux sociaux @FIPHFP</w:t>
      </w:r>
    </w:p>
    <w:p w:rsidR="000A44C9" w:rsidRPr="00DF5775" w:rsidRDefault="000A44C9" w:rsidP="000A44C9">
      <w:pPr>
        <w:jc w:val="both"/>
        <w:rPr>
          <w:b/>
        </w:rPr>
      </w:pPr>
      <w:r w:rsidRPr="00DF5775">
        <w:rPr>
          <w:b/>
          <w:color w:val="00B0F0"/>
        </w:rPr>
        <w:t>À propos du groupe Caisse des Dépôts</w:t>
      </w:r>
    </w:p>
    <w:p w:rsidR="000A44C9" w:rsidRDefault="000A44C9" w:rsidP="000A44C9">
      <w:pPr>
        <w:jc w:val="both"/>
      </w:pPr>
      <w:r>
        <w:t>La Caisse des Dépôts et ses filiales constituent un groupe public, investisseur de long terme au service de l’intérêt général et du développement économique des territoires.</w:t>
      </w:r>
    </w:p>
    <w:p w:rsidR="00DF5775" w:rsidRDefault="000A44C9" w:rsidP="000A44C9">
      <w:pPr>
        <w:jc w:val="both"/>
      </w:pPr>
      <w:r>
        <w:t xml:space="preserve">Elle regroupe cinq domaines d’expertise : les politiques sociales (retraite, formation professionnelle, handicap, grand âge et santé), les gestions d’actifs, le suivi des filiales et des participations, le financement des entreprises (avec </w:t>
      </w:r>
      <w:proofErr w:type="spellStart"/>
      <w:r>
        <w:t>Bpifrance</w:t>
      </w:r>
      <w:proofErr w:type="spellEnd"/>
      <w:r>
        <w:t>) et la Banque des Territoires</w:t>
      </w:r>
    </w:p>
    <w:p w:rsidR="00DF5775" w:rsidRDefault="000A44C9" w:rsidP="000A44C9">
      <w:pPr>
        <w:jc w:val="both"/>
      </w:pPr>
      <w:r>
        <w:t xml:space="preserve">Plus d’informations sur </w:t>
      </w:r>
      <w:hyperlink r:id="rId9" w:history="1">
        <w:r w:rsidR="00DF5775" w:rsidRPr="009E67E4">
          <w:rPr>
            <w:rStyle w:val="Lienhypertexte"/>
          </w:rPr>
          <w:t>https://www.caissedesdepots.fr/</w:t>
        </w:r>
      </w:hyperlink>
      <w:r w:rsidR="00DF5775">
        <w:t xml:space="preserve">    </w:t>
      </w:r>
    </w:p>
    <w:p w:rsidR="00381C39" w:rsidRPr="00F92F3B" w:rsidRDefault="00DF5775" w:rsidP="000A44C9">
      <w:pPr>
        <w:jc w:val="both"/>
      </w:pPr>
      <w:r w:rsidRPr="00DF5775">
        <w:t xml:space="preserve">Contact Presse FIPHFP : </w:t>
      </w:r>
      <w:proofErr w:type="spellStart"/>
      <w:r w:rsidRPr="00DF5775">
        <w:t>Auverny</w:t>
      </w:r>
      <w:proofErr w:type="spellEnd"/>
      <w:r w:rsidRPr="00DF5775">
        <w:t>-Bennetot : fauverny@image7.fr</w:t>
      </w:r>
    </w:p>
    <w:sectPr w:rsidR="00381C39" w:rsidRPr="00F92F3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6D" w:rsidRDefault="0074326D" w:rsidP="00D04E3E">
      <w:pPr>
        <w:spacing w:after="0" w:line="240" w:lineRule="auto"/>
      </w:pPr>
      <w:r>
        <w:separator/>
      </w:r>
    </w:p>
  </w:endnote>
  <w:endnote w:type="continuationSeparator" w:id="0">
    <w:p w:rsidR="0074326D" w:rsidRDefault="0074326D" w:rsidP="00D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659983"/>
      <w:docPartObj>
        <w:docPartGallery w:val="Page Numbers (Bottom of Page)"/>
        <w:docPartUnique/>
      </w:docPartObj>
    </w:sdtPr>
    <w:sdtEndPr/>
    <w:sdtContent>
      <w:p w:rsidR="000D0336" w:rsidRDefault="000D0336">
        <w:pPr>
          <w:pStyle w:val="Pieddepage"/>
          <w:jc w:val="right"/>
        </w:pPr>
        <w:r>
          <w:fldChar w:fldCharType="begin"/>
        </w:r>
        <w:r>
          <w:instrText>PAGE   \* MERGEFORMAT</w:instrText>
        </w:r>
        <w:r>
          <w:fldChar w:fldCharType="separate"/>
        </w:r>
        <w:r w:rsidR="000B513B">
          <w:rPr>
            <w:noProof/>
          </w:rPr>
          <w:t>2</w:t>
        </w:r>
        <w:r>
          <w:fldChar w:fldCharType="end"/>
        </w:r>
      </w:p>
    </w:sdtContent>
  </w:sdt>
  <w:p w:rsidR="00D04E3E" w:rsidRDefault="00D04E3E" w:rsidP="00D04E3E">
    <w:pPr>
      <w:pStyle w:val="Pieddepage"/>
      <w:tabs>
        <w:tab w:val="clear" w:pos="4536"/>
        <w:tab w:val="clear" w:pos="9072"/>
        <w:tab w:val="left" w:pos="179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6D" w:rsidRDefault="0074326D" w:rsidP="00D04E3E">
      <w:pPr>
        <w:spacing w:after="0" w:line="240" w:lineRule="auto"/>
      </w:pPr>
      <w:r>
        <w:separator/>
      </w:r>
    </w:p>
  </w:footnote>
  <w:footnote w:type="continuationSeparator" w:id="0">
    <w:p w:rsidR="0074326D" w:rsidRDefault="0074326D" w:rsidP="00D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C9" w:rsidRDefault="003119C9" w:rsidP="003A76DB">
    <w:pPr>
      <w:pStyle w:val="En-tte"/>
      <w:tabs>
        <w:tab w:val="left" w:pos="6516"/>
      </w:tabs>
      <w:rPr>
        <w:b/>
        <w:color w:val="00B0F0"/>
        <w:sz w:val="40"/>
        <w:szCs w:val="40"/>
      </w:rPr>
    </w:pPr>
    <w:r>
      <w:rPr>
        <w:b/>
        <w:noProof/>
        <w:color w:val="00B0F0"/>
        <w:sz w:val="40"/>
        <w:szCs w:val="40"/>
        <w:lang w:eastAsia="fr-FR"/>
      </w:rPr>
      <w:drawing>
        <wp:inline distT="0" distB="0" distL="0" distR="0" wp14:anchorId="385976C0" wp14:editId="5B2D640A">
          <wp:extent cx="1384237" cy="573082"/>
          <wp:effectExtent l="0" t="0" r="6985" b="0"/>
          <wp:docPr id="1" name="Image 1" descr="C:\Users\085213\Pictures\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5213\Pictures\LOGO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306" cy="571869"/>
                  </a:xfrm>
                  <a:prstGeom prst="rect">
                    <a:avLst/>
                  </a:prstGeom>
                  <a:noFill/>
                  <a:ln>
                    <a:noFill/>
                  </a:ln>
                </pic:spPr>
              </pic:pic>
            </a:graphicData>
          </a:graphic>
        </wp:inline>
      </w:drawing>
    </w:r>
    <w:r w:rsidR="003D7D04">
      <w:rPr>
        <w:b/>
        <w:color w:val="00B0F0"/>
        <w:sz w:val="40"/>
        <w:szCs w:val="40"/>
      </w:rPr>
      <w:tab/>
    </w:r>
    <w:r w:rsidR="00411294">
      <w:rPr>
        <w:b/>
        <w:color w:val="00B0F0"/>
        <w:sz w:val="40"/>
        <w:szCs w:val="40"/>
      </w:rPr>
      <w:t xml:space="preserve">                </w:t>
    </w:r>
    <w:r w:rsidR="000457FB">
      <w:rPr>
        <w:b/>
        <w:color w:val="00B0F0"/>
        <w:sz w:val="40"/>
        <w:szCs w:val="40"/>
      </w:rPr>
      <w:t xml:space="preserve"> </w:t>
    </w:r>
    <w:r w:rsidR="00411294">
      <w:rPr>
        <w:b/>
        <w:color w:val="00B0F0"/>
        <w:sz w:val="40"/>
        <w:szCs w:val="40"/>
      </w:rPr>
      <w:t xml:space="preserve"> </w:t>
    </w:r>
    <w:r w:rsidR="000457FB">
      <w:rPr>
        <w:b/>
        <w:color w:val="00B0F0"/>
        <w:sz w:val="40"/>
        <w:szCs w:val="40"/>
      </w:rPr>
      <w:t xml:space="preserve">  </w:t>
    </w:r>
    <w:r w:rsidR="00411294" w:rsidRPr="00411294">
      <w:rPr>
        <w:b/>
        <w:noProof/>
        <w:color w:val="00B0F0"/>
        <w:sz w:val="40"/>
        <w:szCs w:val="40"/>
        <w:lang w:eastAsia="fr-FR"/>
      </w:rPr>
      <w:drawing>
        <wp:inline distT="0" distB="0" distL="0" distR="0">
          <wp:extent cx="579120" cy="579120"/>
          <wp:effectExtent l="0" t="0" r="0" b="0"/>
          <wp:docPr id="4" name="Image 4" descr="C:\Users\085213\Desktop\logoCHH_offic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5213\Desktop\logoCHH_officie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sidR="000457FB">
      <w:rPr>
        <w:b/>
        <w:color w:val="00B0F0"/>
        <w:sz w:val="40"/>
        <w:szCs w:val="40"/>
      </w:rPr>
      <w:t xml:space="preserve">   </w:t>
    </w:r>
    <w:r w:rsidR="00411294">
      <w:rPr>
        <w:b/>
        <w:color w:val="00B0F0"/>
        <w:sz w:val="40"/>
        <w:szCs w:val="40"/>
      </w:rPr>
      <w:t xml:space="preserve">              </w:t>
    </w:r>
    <w:r w:rsidR="003A76DB">
      <w:rPr>
        <w:b/>
        <w:color w:val="00B0F0"/>
        <w:sz w:val="40"/>
        <w:szCs w:val="40"/>
      </w:rPr>
      <w:t xml:space="preserve">       </w:t>
    </w:r>
    <w:r w:rsidR="000457FB">
      <w:rPr>
        <w:b/>
        <w:color w:val="00B0F0"/>
        <w:sz w:val="40"/>
        <w:szCs w:val="40"/>
      </w:rPr>
      <w:t xml:space="preserve">           </w:t>
    </w:r>
    <w:r w:rsidR="003A76DB">
      <w:rPr>
        <w:b/>
        <w:noProof/>
        <w:color w:val="00B0F0"/>
        <w:sz w:val="40"/>
        <w:szCs w:val="40"/>
        <w:lang w:eastAsia="fr-FR"/>
      </w:rPr>
      <w:drawing>
        <wp:inline distT="0" distB="0" distL="0" distR="0">
          <wp:extent cx="597832" cy="6400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PHFP.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7537" cy="661177"/>
                  </a:xfrm>
                  <a:prstGeom prst="rect">
                    <a:avLst/>
                  </a:prstGeom>
                </pic:spPr>
              </pic:pic>
            </a:graphicData>
          </a:graphic>
        </wp:inline>
      </w:drawing>
    </w:r>
    <w:r w:rsidR="000457FB">
      <w:rPr>
        <w:b/>
        <w:color w:val="00B0F0"/>
        <w:sz w:val="40"/>
        <w:szCs w:val="40"/>
      </w:rPr>
      <w:t xml:space="preserve">                        </w:t>
    </w:r>
  </w:p>
  <w:p w:rsidR="00D04E3E" w:rsidRPr="003119C9" w:rsidRDefault="003119C9" w:rsidP="00D04E3E">
    <w:pPr>
      <w:pStyle w:val="En-tte"/>
      <w:jc w:val="center"/>
      <w:rPr>
        <w:b/>
        <w:color w:val="00B0F0"/>
        <w:sz w:val="40"/>
        <w:szCs w:val="40"/>
      </w:rPr>
    </w:pPr>
    <w:r w:rsidRPr="003119C9">
      <w:rPr>
        <w:b/>
        <w:color w:val="00B0F0"/>
        <w:sz w:val="40"/>
        <w:szCs w:val="40"/>
      </w:rPr>
      <w:t xml:space="preserve"> </w:t>
    </w:r>
    <w:r w:rsidR="00381C39">
      <w:rPr>
        <w:b/>
        <w:color w:val="00B0F0"/>
        <w:sz w:val="40"/>
        <w:szCs w:val="40"/>
      </w:rPr>
      <w:t xml:space="preserve">COMMUNIQUE </w:t>
    </w:r>
    <w:r w:rsidR="00D04E3E" w:rsidRPr="003119C9">
      <w:rPr>
        <w:b/>
        <w:color w:val="00B0F0"/>
        <w:sz w:val="40"/>
        <w:szCs w:val="40"/>
      </w:rPr>
      <w:t>DE PRESSE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51E"/>
    <w:multiLevelType w:val="hybridMultilevel"/>
    <w:tmpl w:val="E66658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E65B2"/>
    <w:multiLevelType w:val="hybridMultilevel"/>
    <w:tmpl w:val="5D969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5C6DD3"/>
    <w:multiLevelType w:val="hybridMultilevel"/>
    <w:tmpl w:val="39C2103E"/>
    <w:lvl w:ilvl="0" w:tplc="1B1AF9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A4B47"/>
    <w:multiLevelType w:val="hybridMultilevel"/>
    <w:tmpl w:val="6C44C6CC"/>
    <w:lvl w:ilvl="0" w:tplc="1F4E5B6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373FA5"/>
    <w:multiLevelType w:val="hybridMultilevel"/>
    <w:tmpl w:val="B0C06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0766D"/>
    <w:multiLevelType w:val="hybridMultilevel"/>
    <w:tmpl w:val="290C3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1784D"/>
    <w:multiLevelType w:val="hybridMultilevel"/>
    <w:tmpl w:val="0A42DE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8314F"/>
    <w:multiLevelType w:val="hybridMultilevel"/>
    <w:tmpl w:val="87F2F49C"/>
    <w:lvl w:ilvl="0" w:tplc="D7AEB0C8">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B24AD1"/>
    <w:multiLevelType w:val="hybridMultilevel"/>
    <w:tmpl w:val="D6E81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B25C4B"/>
    <w:multiLevelType w:val="hybridMultilevel"/>
    <w:tmpl w:val="F59C005C"/>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635206"/>
    <w:multiLevelType w:val="hybridMultilevel"/>
    <w:tmpl w:val="7DA22A6A"/>
    <w:lvl w:ilvl="0" w:tplc="040C0005">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1" w15:restartNumberingAfterBreak="0">
    <w:nsid w:val="4C006EE3"/>
    <w:multiLevelType w:val="hybridMultilevel"/>
    <w:tmpl w:val="10642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0101D"/>
    <w:multiLevelType w:val="hybridMultilevel"/>
    <w:tmpl w:val="C4E07C2A"/>
    <w:lvl w:ilvl="0" w:tplc="DD3E0F4A">
      <w:start w:val="32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50246C"/>
    <w:multiLevelType w:val="hybridMultilevel"/>
    <w:tmpl w:val="674069F0"/>
    <w:lvl w:ilvl="0" w:tplc="1C70618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93235D"/>
    <w:multiLevelType w:val="hybridMultilevel"/>
    <w:tmpl w:val="CB2CD828"/>
    <w:lvl w:ilvl="0" w:tplc="1B1AF9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FD6F69"/>
    <w:multiLevelType w:val="hybridMultilevel"/>
    <w:tmpl w:val="5644E37A"/>
    <w:lvl w:ilvl="0" w:tplc="829C210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034085"/>
    <w:multiLevelType w:val="hybridMultilevel"/>
    <w:tmpl w:val="BA6EB4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2A7542"/>
    <w:multiLevelType w:val="hybridMultilevel"/>
    <w:tmpl w:val="58E23F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6854C6"/>
    <w:multiLevelType w:val="hybridMultilevel"/>
    <w:tmpl w:val="4922FA94"/>
    <w:lvl w:ilvl="0" w:tplc="1F4E5B6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65159"/>
    <w:multiLevelType w:val="hybridMultilevel"/>
    <w:tmpl w:val="F8FC9E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0"/>
  </w:num>
  <w:num w:numId="5">
    <w:abstractNumId w:val="4"/>
  </w:num>
  <w:num w:numId="6">
    <w:abstractNumId w:val="1"/>
  </w:num>
  <w:num w:numId="7">
    <w:abstractNumId w:val="9"/>
  </w:num>
  <w:num w:numId="8">
    <w:abstractNumId w:val="19"/>
  </w:num>
  <w:num w:numId="9">
    <w:abstractNumId w:val="17"/>
  </w:num>
  <w:num w:numId="10">
    <w:abstractNumId w:val="2"/>
  </w:num>
  <w:num w:numId="11">
    <w:abstractNumId w:val="14"/>
  </w:num>
  <w:num w:numId="12">
    <w:abstractNumId w:val="6"/>
  </w:num>
  <w:num w:numId="13">
    <w:abstractNumId w:val="10"/>
  </w:num>
  <w:num w:numId="14">
    <w:abstractNumId w:val="5"/>
  </w:num>
  <w:num w:numId="15">
    <w:abstractNumId w:val="8"/>
  </w:num>
  <w:num w:numId="16">
    <w:abstractNumId w:val="11"/>
  </w:num>
  <w:num w:numId="17">
    <w:abstractNumId w:val="16"/>
  </w:num>
  <w:num w:numId="18">
    <w:abstractNumId w:val="7"/>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45"/>
    <w:rsid w:val="00032403"/>
    <w:rsid w:val="000439A5"/>
    <w:rsid w:val="000457FB"/>
    <w:rsid w:val="00047051"/>
    <w:rsid w:val="000602CB"/>
    <w:rsid w:val="00062593"/>
    <w:rsid w:val="00071400"/>
    <w:rsid w:val="000717AD"/>
    <w:rsid w:val="00071A9A"/>
    <w:rsid w:val="00073EAD"/>
    <w:rsid w:val="00094FB6"/>
    <w:rsid w:val="000A1C9F"/>
    <w:rsid w:val="000A44C9"/>
    <w:rsid w:val="000B2224"/>
    <w:rsid w:val="000B513B"/>
    <w:rsid w:val="000C2FB5"/>
    <w:rsid w:val="000C6361"/>
    <w:rsid w:val="000D0336"/>
    <w:rsid w:val="000D0A26"/>
    <w:rsid w:val="000E3313"/>
    <w:rsid w:val="000F5A94"/>
    <w:rsid w:val="00103AE2"/>
    <w:rsid w:val="00114AAE"/>
    <w:rsid w:val="00134FE8"/>
    <w:rsid w:val="00143EB7"/>
    <w:rsid w:val="00151431"/>
    <w:rsid w:val="00152607"/>
    <w:rsid w:val="00160215"/>
    <w:rsid w:val="00166922"/>
    <w:rsid w:val="001A6BC1"/>
    <w:rsid w:val="001B020A"/>
    <w:rsid w:val="001B6AD2"/>
    <w:rsid w:val="001C4D37"/>
    <w:rsid w:val="001C6DD5"/>
    <w:rsid w:val="001E30AD"/>
    <w:rsid w:val="001E7C41"/>
    <w:rsid w:val="00207218"/>
    <w:rsid w:val="00207C04"/>
    <w:rsid w:val="00217AB1"/>
    <w:rsid w:val="00217B3A"/>
    <w:rsid w:val="002323A3"/>
    <w:rsid w:val="002460AC"/>
    <w:rsid w:val="002514EF"/>
    <w:rsid w:val="00254323"/>
    <w:rsid w:val="002763D6"/>
    <w:rsid w:val="00277A35"/>
    <w:rsid w:val="002A528A"/>
    <w:rsid w:val="002A5B1F"/>
    <w:rsid w:val="002C2021"/>
    <w:rsid w:val="002D2287"/>
    <w:rsid w:val="002E3DC8"/>
    <w:rsid w:val="00300099"/>
    <w:rsid w:val="0030346A"/>
    <w:rsid w:val="00304522"/>
    <w:rsid w:val="00306739"/>
    <w:rsid w:val="003119C9"/>
    <w:rsid w:val="003250DB"/>
    <w:rsid w:val="0033297B"/>
    <w:rsid w:val="00340BBB"/>
    <w:rsid w:val="00343329"/>
    <w:rsid w:val="003634F4"/>
    <w:rsid w:val="00370097"/>
    <w:rsid w:val="00372E26"/>
    <w:rsid w:val="0037668F"/>
    <w:rsid w:val="00381C39"/>
    <w:rsid w:val="00394DE1"/>
    <w:rsid w:val="003A6427"/>
    <w:rsid w:val="003A75E1"/>
    <w:rsid w:val="003A76DB"/>
    <w:rsid w:val="003C117C"/>
    <w:rsid w:val="003C503A"/>
    <w:rsid w:val="003D7D04"/>
    <w:rsid w:val="003F071B"/>
    <w:rsid w:val="00405BAC"/>
    <w:rsid w:val="00411294"/>
    <w:rsid w:val="00412D9F"/>
    <w:rsid w:val="00437AE7"/>
    <w:rsid w:val="00484997"/>
    <w:rsid w:val="004A0043"/>
    <w:rsid w:val="004B2F2D"/>
    <w:rsid w:val="004D10D2"/>
    <w:rsid w:val="004D54F3"/>
    <w:rsid w:val="004E0357"/>
    <w:rsid w:val="004E1753"/>
    <w:rsid w:val="004E59DA"/>
    <w:rsid w:val="00507427"/>
    <w:rsid w:val="0051222C"/>
    <w:rsid w:val="00513016"/>
    <w:rsid w:val="00514105"/>
    <w:rsid w:val="00540FAF"/>
    <w:rsid w:val="0054331D"/>
    <w:rsid w:val="00557D5A"/>
    <w:rsid w:val="00563EC5"/>
    <w:rsid w:val="00565C82"/>
    <w:rsid w:val="00590DFB"/>
    <w:rsid w:val="00591B44"/>
    <w:rsid w:val="005946EE"/>
    <w:rsid w:val="0059564E"/>
    <w:rsid w:val="0059657D"/>
    <w:rsid w:val="005A38CC"/>
    <w:rsid w:val="005C19E5"/>
    <w:rsid w:val="005C774D"/>
    <w:rsid w:val="005D2E54"/>
    <w:rsid w:val="005E1D55"/>
    <w:rsid w:val="005E4F34"/>
    <w:rsid w:val="005E73E3"/>
    <w:rsid w:val="00603034"/>
    <w:rsid w:val="00612CA4"/>
    <w:rsid w:val="00617647"/>
    <w:rsid w:val="0062164E"/>
    <w:rsid w:val="00647849"/>
    <w:rsid w:val="00653C0E"/>
    <w:rsid w:val="006736BE"/>
    <w:rsid w:val="00696D63"/>
    <w:rsid w:val="006A5715"/>
    <w:rsid w:val="006E372F"/>
    <w:rsid w:val="006E3BDD"/>
    <w:rsid w:val="00705A47"/>
    <w:rsid w:val="00725293"/>
    <w:rsid w:val="0074326D"/>
    <w:rsid w:val="00744D9F"/>
    <w:rsid w:val="00770090"/>
    <w:rsid w:val="00776848"/>
    <w:rsid w:val="007A5310"/>
    <w:rsid w:val="007C2810"/>
    <w:rsid w:val="007C6778"/>
    <w:rsid w:val="007F5147"/>
    <w:rsid w:val="00806AA7"/>
    <w:rsid w:val="00806F95"/>
    <w:rsid w:val="00817833"/>
    <w:rsid w:val="0083413C"/>
    <w:rsid w:val="008405CD"/>
    <w:rsid w:val="00871E5D"/>
    <w:rsid w:val="008836F8"/>
    <w:rsid w:val="008854E2"/>
    <w:rsid w:val="0089324D"/>
    <w:rsid w:val="00896711"/>
    <w:rsid w:val="008A036D"/>
    <w:rsid w:val="008D13EE"/>
    <w:rsid w:val="008F21EC"/>
    <w:rsid w:val="0092350B"/>
    <w:rsid w:val="0094494E"/>
    <w:rsid w:val="009472ED"/>
    <w:rsid w:val="00957183"/>
    <w:rsid w:val="009711CB"/>
    <w:rsid w:val="00993E56"/>
    <w:rsid w:val="009C522E"/>
    <w:rsid w:val="009D648A"/>
    <w:rsid w:val="009E59C6"/>
    <w:rsid w:val="009F17BA"/>
    <w:rsid w:val="009F2C3B"/>
    <w:rsid w:val="00A02904"/>
    <w:rsid w:val="00A2747E"/>
    <w:rsid w:val="00A41123"/>
    <w:rsid w:val="00A41D2B"/>
    <w:rsid w:val="00A43E3C"/>
    <w:rsid w:val="00A44A89"/>
    <w:rsid w:val="00A56CE7"/>
    <w:rsid w:val="00A56FEC"/>
    <w:rsid w:val="00A70332"/>
    <w:rsid w:val="00A747C2"/>
    <w:rsid w:val="00A8703A"/>
    <w:rsid w:val="00AB38A9"/>
    <w:rsid w:val="00AC15D5"/>
    <w:rsid w:val="00B028C9"/>
    <w:rsid w:val="00B20DE2"/>
    <w:rsid w:val="00B64D44"/>
    <w:rsid w:val="00B664D9"/>
    <w:rsid w:val="00B81599"/>
    <w:rsid w:val="00B82CC5"/>
    <w:rsid w:val="00B929BF"/>
    <w:rsid w:val="00B92DD4"/>
    <w:rsid w:val="00BA07FC"/>
    <w:rsid w:val="00BA5365"/>
    <w:rsid w:val="00BB4134"/>
    <w:rsid w:val="00BC4773"/>
    <w:rsid w:val="00BC68F2"/>
    <w:rsid w:val="00BE2BD1"/>
    <w:rsid w:val="00C000F5"/>
    <w:rsid w:val="00C04665"/>
    <w:rsid w:val="00C06CEF"/>
    <w:rsid w:val="00C202BB"/>
    <w:rsid w:val="00C217D8"/>
    <w:rsid w:val="00C36C14"/>
    <w:rsid w:val="00C41AFB"/>
    <w:rsid w:val="00C71FD0"/>
    <w:rsid w:val="00C76FB2"/>
    <w:rsid w:val="00C80973"/>
    <w:rsid w:val="00C872C4"/>
    <w:rsid w:val="00C8759B"/>
    <w:rsid w:val="00CC1296"/>
    <w:rsid w:val="00CC71EF"/>
    <w:rsid w:val="00CE438A"/>
    <w:rsid w:val="00CE6A9C"/>
    <w:rsid w:val="00D04E3E"/>
    <w:rsid w:val="00D11F59"/>
    <w:rsid w:val="00D16BEC"/>
    <w:rsid w:val="00D26F6E"/>
    <w:rsid w:val="00D3764C"/>
    <w:rsid w:val="00D449BE"/>
    <w:rsid w:val="00D53C7F"/>
    <w:rsid w:val="00D91D2E"/>
    <w:rsid w:val="00DA0B67"/>
    <w:rsid w:val="00DA28AC"/>
    <w:rsid w:val="00DB3256"/>
    <w:rsid w:val="00DC512D"/>
    <w:rsid w:val="00DC7ACA"/>
    <w:rsid w:val="00DD1690"/>
    <w:rsid w:val="00DE396C"/>
    <w:rsid w:val="00DE3A03"/>
    <w:rsid w:val="00DF5775"/>
    <w:rsid w:val="00DF7414"/>
    <w:rsid w:val="00E03E23"/>
    <w:rsid w:val="00E12F81"/>
    <w:rsid w:val="00E32944"/>
    <w:rsid w:val="00E366D3"/>
    <w:rsid w:val="00E46C4C"/>
    <w:rsid w:val="00E74414"/>
    <w:rsid w:val="00EB3051"/>
    <w:rsid w:val="00EB4CF9"/>
    <w:rsid w:val="00ED0229"/>
    <w:rsid w:val="00EE6CED"/>
    <w:rsid w:val="00EF1605"/>
    <w:rsid w:val="00EF6DB1"/>
    <w:rsid w:val="00F14FBA"/>
    <w:rsid w:val="00F156B1"/>
    <w:rsid w:val="00F32EDA"/>
    <w:rsid w:val="00F355F8"/>
    <w:rsid w:val="00F40E45"/>
    <w:rsid w:val="00F41DB8"/>
    <w:rsid w:val="00F50D71"/>
    <w:rsid w:val="00F56FF1"/>
    <w:rsid w:val="00F710D2"/>
    <w:rsid w:val="00F92F3B"/>
    <w:rsid w:val="00FA11DB"/>
    <w:rsid w:val="00FB135C"/>
    <w:rsid w:val="00FB1576"/>
    <w:rsid w:val="00FB4D97"/>
    <w:rsid w:val="00FB72CA"/>
    <w:rsid w:val="00FD53F8"/>
    <w:rsid w:val="00FE0005"/>
    <w:rsid w:val="00FE5F81"/>
    <w:rsid w:val="00FF36B0"/>
    <w:rsid w:val="00FF6703"/>
    <w:rsid w:val="00FF75A1"/>
    <w:rsid w:val="00FF7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E544"/>
  <w15:docId w15:val="{9B01DF31-2962-4EDC-A201-EA8D4138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7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D55"/>
    <w:pPr>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D04E3E"/>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D04E3E"/>
  </w:style>
  <w:style w:type="paragraph" w:styleId="Pieddepage">
    <w:name w:val="footer"/>
    <w:basedOn w:val="Normal"/>
    <w:link w:val="PieddepageCar"/>
    <w:uiPriority w:val="99"/>
    <w:unhideWhenUsed/>
    <w:rsid w:val="00D04E3E"/>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D04E3E"/>
  </w:style>
  <w:style w:type="paragraph" w:styleId="Textedebulles">
    <w:name w:val="Balloon Text"/>
    <w:basedOn w:val="Normal"/>
    <w:link w:val="TextedebullesCar"/>
    <w:uiPriority w:val="99"/>
    <w:semiHidden/>
    <w:unhideWhenUsed/>
    <w:rsid w:val="003119C9"/>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3119C9"/>
    <w:rPr>
      <w:rFonts w:ascii="Tahoma" w:hAnsi="Tahoma" w:cs="Tahoma"/>
      <w:sz w:val="16"/>
      <w:szCs w:val="16"/>
    </w:rPr>
  </w:style>
  <w:style w:type="character" w:styleId="Lienhypertexte">
    <w:name w:val="Hyperlink"/>
    <w:basedOn w:val="Policepardfaut"/>
    <w:uiPriority w:val="99"/>
    <w:unhideWhenUsed/>
    <w:rsid w:val="00DF5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5915">
      <w:bodyDiv w:val="1"/>
      <w:marLeft w:val="0"/>
      <w:marRight w:val="0"/>
      <w:marTop w:val="0"/>
      <w:marBottom w:val="0"/>
      <w:divBdr>
        <w:top w:val="none" w:sz="0" w:space="0" w:color="auto"/>
        <w:left w:val="none" w:sz="0" w:space="0" w:color="auto"/>
        <w:bottom w:val="none" w:sz="0" w:space="0" w:color="auto"/>
        <w:right w:val="none" w:sz="0" w:space="0" w:color="auto"/>
      </w:divBdr>
    </w:div>
    <w:div w:id="15747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hfp.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issedesdepot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C4AA-7BC5-42C7-BCDE-9090D7C7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CHITS</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SAMANTHA</dc:creator>
  <cp:lastModifiedBy>ERNST SAMANTHA</cp:lastModifiedBy>
  <cp:revision>18</cp:revision>
  <cp:lastPrinted>2019-03-12T15:39:00Z</cp:lastPrinted>
  <dcterms:created xsi:type="dcterms:W3CDTF">2024-03-22T08:40:00Z</dcterms:created>
  <dcterms:modified xsi:type="dcterms:W3CDTF">2024-03-22T09:25:00Z</dcterms:modified>
</cp:coreProperties>
</file>