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Calibri Light" w:hAnsi="Calibri Light" w:cs="Calibri Light"/>
          <w:sz w:val="24"/>
          <w:sz-cs w:val="24"/>
        </w:rPr>
        <w:t xml:space="preserve"/>
        <w:tab/>
        <w:t xml:space="preserve"/>
      </w:r>
    </w:p>
    <w:p>
      <w:pPr/>
      <w:r>
        <w:rPr>
          <w:rFonts w:ascii="Calibri Light" w:hAnsi="Calibri Light" w:cs="Calibri Light"/>
          <w:sz w:val="24"/>
          <w:sz-cs w:val="24"/>
        </w:rPr>
        <w:t xml:space="preserve"/>
      </w:r>
    </w:p>
    <w:p>
      <w:pPr>
        <w:jc w:val="right"/>
      </w:pPr>
      <w:r>
        <w:rPr>
          <w:rFonts w:ascii="Calibri Light" w:hAnsi="Calibri Light" w:cs="Calibri Light"/>
          <w:sz w:val="24"/>
          <w:sz-cs w:val="24"/>
        </w:rPr>
        <w:t xml:space="preserve"/>
      </w:r>
    </w:p>
    <w:p>
      <w:pPr>
        <w:jc w:val="right"/>
      </w:pPr>
      <w:r>
        <w:rPr>
          <w:rFonts w:ascii="Calibri Light" w:hAnsi="Calibri Light" w:cs="Calibri Light"/>
          <w:sz w:val="24"/>
          <w:sz-cs w:val="24"/>
        </w:rPr>
        <w:t xml:space="preserve"/>
      </w:r>
    </w:p>
    <w:p>
      <w:pPr>
        <w:jc w:val="right"/>
      </w:pPr>
      <w:r>
        <w:rPr>
          <w:rFonts w:ascii="Calibri Light" w:hAnsi="Calibri Light" w:cs="Calibri Light"/>
          <w:sz w:val="24"/>
          <w:sz-cs w:val="24"/>
        </w:rPr>
        <w:t xml:space="preserve"/>
      </w:r>
    </w:p>
    <w:p>
      <w:pPr>
        <w:jc w:val="right"/>
      </w:pPr>
      <w:r>
        <w:rPr>
          <w:rFonts w:ascii="Calibri Light" w:hAnsi="Calibri Light" w:cs="Calibri Light"/>
          <w:sz w:val="24"/>
          <w:sz-cs w:val="24"/>
        </w:rPr>
        <w:t xml:space="preserve"/>
      </w:r>
    </w:p>
    <w:p>
      <w:pPr/>
      <w:r>
        <w:rPr>
          <w:rFonts w:ascii="Calibri" w:hAnsi="Calibri" w:cs="Calibri"/>
          <w:sz w:val="32"/>
          <w:sz-cs w:val="32"/>
          <w:b/>
        </w:rPr>
        <w:t xml:space="preserve">Avec le Fonds pour l’Insertion des Personnes Handicapées dans la Fonction Publique (FIPHFP),</w:t>
      </w:r>
    </w:p>
    <w:p>
      <w:pPr/>
      <w:r>
        <w:rPr>
          <w:rFonts w:ascii="Calibri" w:hAnsi="Calibri" w:cs="Calibri"/>
          <w:sz w:val="48"/>
          <w:sz-cs w:val="48"/>
          <w:b/>
          <w:color w:val="C45911"/>
        </w:rPr>
        <w:t xml:space="preserve">le Département de Vaucluse réaffirme son engagement pour 3 ans. </w:t>
      </w:r>
    </w:p>
    <w:p>
      <w:pPr/>
      <w:r>
        <w:rPr>
          <w:rFonts w:ascii="Calibri" w:hAnsi="Calibri" w:cs="Calibri"/>
          <w:sz w:val="48"/>
          <w:sz-cs w:val="48"/>
          <w:b/>
          <w:color w:val="C45911"/>
        </w:rPr>
        <w:t xml:space="preserve"/>
      </w:r>
    </w:p>
    <w:p>
      <w:pPr>
        <w:jc w:val="both"/>
      </w:pPr>
      <w:r>
        <w:rPr>
          <w:rFonts w:ascii="Calibri" w:hAnsi="Calibri" w:cs="Calibri"/>
          <w:sz w:val="28"/>
          <w:sz-cs w:val="28"/>
          <w:b/>
        </w:rPr>
        <w:t xml:space="preserve">Ce vendredi 29 mars 2024, Madame Dominique Santoni, Présidente du Département de Vaucluse et Madame Marine Neuville, Directrice du FIPHFP scellent ensemble ce partenariat par la signature d’une 4</w:t>
      </w:r>
      <w:r>
        <w:rPr>
          <w:rFonts w:ascii="Calibri" w:hAnsi="Calibri" w:cs="Calibri"/>
          <w:sz w:val="28"/>
          <w:sz-cs w:val="28"/>
          <w:b/>
          <w:vertAlign w:val="superscript"/>
        </w:rPr>
        <w:t xml:space="preserve">ème</w:t>
      </w:r>
      <w:r>
        <w:rPr>
          <w:rFonts w:ascii="Calibri" w:hAnsi="Calibri" w:cs="Calibri"/>
          <w:sz w:val="28"/>
          <w:sz-cs w:val="28"/>
          <w:b/>
        </w:rPr>
        <w:t xml:space="preserve"> convention.</w:t>
      </w:r>
    </w:p>
    <w:p>
      <w:pPr>
        <w:jc w:val="both"/>
      </w:pPr>
      <w:r>
        <w:rPr>
          <w:rFonts w:ascii="Calibri" w:hAnsi="Calibri" w:cs="Calibri"/>
          <w:sz w:val="28"/>
          <w:sz-cs w:val="28"/>
          <w:b/>
        </w:rPr>
        <w:t xml:space="preserve"/>
      </w:r>
    </w:p>
    <w:p>
      <w:pPr>
        <w:jc w:val="both"/>
      </w:pPr>
      <w:r>
        <w:rPr>
          <w:rFonts w:ascii="Calibri" w:hAnsi="Calibri" w:cs="Calibri"/>
          <w:sz w:val="24"/>
          <w:sz-cs w:val="24"/>
          <w:b/>
        </w:rPr>
        <w:t xml:space="preserve">5 axes majeurs pour ce nouveau partenariat</w:t>
      </w:r>
    </w:p>
    <w:p>
      <w:pPr>
        <w:jc w:val="both"/>
      </w:pPr>
      <w:r>
        <w:rPr>
          <w:rFonts w:ascii="Calibri Light" w:hAnsi="Calibri Light" w:cs="Calibri Light"/>
          <w:sz w:val="24"/>
          <w:sz-cs w:val="24"/>
        </w:rPr>
        <w:t xml:space="preserve">Par la signature de cette nouvelle convention, le Département de Vaucluse s’engage de façon innovante en faveur des Bénéficiaires de l’Obligation d’Emploi, qu’ils soient titulaires, contractuels ou apprentis, pour :</w:t>
      </w:r>
    </w:p>
    <w:p>
      <w:pPr>
        <w:jc w:val="both"/>
        <w:ind w:left="720" w:first-line="-720"/>
        <w:spacing w:before="40"/>
      </w:pPr>
      <w:r>
        <w:rPr>
          <w:rFonts w:ascii="Calibri Light" w:hAnsi="Calibri Light" w:cs="Calibri Light"/>
          <w:sz w:val="24"/>
          <w:sz-cs w:val="24"/>
        </w:rPr>
        <w:t xml:space="preserve"/>
        <w:tab/>
        <w:t xml:space="preserve">•</w:t>
        <w:tab/>
        <w:t xml:space="preserve">favoriser le recrutement et l’intégration durable de travailleurs en situation de handicap ; </w:t>
      </w:r>
    </w:p>
    <w:p>
      <w:pPr>
        <w:jc w:val="both"/>
        <w:ind w:left="720" w:first-line="-720"/>
        <w:spacing w:before="40"/>
      </w:pPr>
      <w:r>
        <w:rPr>
          <w:rFonts w:ascii="Calibri Light" w:hAnsi="Calibri Light" w:cs="Calibri Light"/>
          <w:sz w:val="24"/>
          <w:sz-cs w:val="24"/>
        </w:rPr>
        <w:t xml:space="preserve"/>
        <w:tab/>
        <w:t xml:space="preserve">•</w:t>
        <w:tab/>
        <w:t xml:space="preserve">accompagner les agents ayant des difficultés de santé ou victime d’accident dans le processus de reclassement professionnel jusqu’à leur nouvelle prise de fonction ;</w:t>
      </w:r>
    </w:p>
    <w:p>
      <w:pPr>
        <w:jc w:val="both"/>
        <w:ind w:left="720" w:first-line="-720"/>
        <w:spacing w:before="40"/>
      </w:pPr>
      <w:r>
        <w:rPr>
          <w:rFonts w:ascii="Calibri Light" w:hAnsi="Calibri Light" w:cs="Calibri Light"/>
          <w:sz w:val="24"/>
          <w:sz-cs w:val="24"/>
        </w:rPr>
        <w:t xml:space="preserve"/>
        <w:tab/>
        <w:t xml:space="preserve">•</w:t>
        <w:tab/>
        <w:t xml:space="preserve">engager des actions de maintien dans l’emploi afin de permettre l’adaptation de l’environnement de travail en proposant un confort de travail optimal et la mise en place d’aides techniques à la compensation du handicap ;</w:t>
      </w:r>
      <w:r>
        <w:rPr>
          <w:rFonts w:ascii="Calibri" w:hAnsi="Calibri" w:cs="Calibri"/>
          <w:sz w:val="80"/>
          <w:sz-cs w:val="80"/>
          <w:b/>
          <w:spacing w:val="32"/>
          <w:color w:val="D0CECE"/>
        </w:rPr>
        <w:t xml:space="preserve"/>
      </w:r>
    </w:p>
    <w:p>
      <w:pPr>
        <w:jc w:val="both"/>
        <w:ind w:left="720" w:first-line="-720"/>
        <w:spacing w:before="40"/>
      </w:pPr>
      <w:r>
        <w:rPr>
          <w:rFonts w:ascii="Calibri Light" w:hAnsi="Calibri Light" w:cs="Calibri Light"/>
          <w:sz w:val="24"/>
          <w:sz-cs w:val="24"/>
        </w:rPr>
        <w:t xml:space="preserve"/>
        <w:tab/>
        <w:t xml:space="preserve">•</w:t>
        <w:tab/>
        <w:t xml:space="preserve">développer une politique de communication par la diffusion de supports thématiques et par l’organisation de la Semaine Européenne pour l’Emploi des Personnes Handicapées (SEEPH) ou du Duo Day.</w:t>
      </w:r>
    </w:p>
    <w:p>
      <w:pPr>
        <w:jc w:val="both"/>
        <w:spacing w:before="60"/>
      </w:pPr>
      <w:r>
        <w:rPr>
          <w:rFonts w:ascii="Calibri Light" w:hAnsi="Calibri Light" w:cs="Calibri Light"/>
          <w:sz w:val="24"/>
          <w:sz-cs w:val="24"/>
        </w:rPr>
        <w:t xml:space="preserve"/>
      </w:r>
    </w:p>
    <w:p>
      <w:pPr>
        <w:jc w:val="both"/>
      </w:pPr>
      <w:r>
        <w:rPr>
          <w:rFonts w:ascii="Calibri" w:hAnsi="Calibri" w:cs="Calibri"/>
          <w:sz w:val="24"/>
          <w:sz-cs w:val="24"/>
          <w:b/>
        </w:rPr>
        <w:t xml:space="preserve">Un partenariat qui dure depuis 12 ans</w:t>
      </w:r>
    </w:p>
    <w:p>
      <w:pPr>
        <w:jc w:val="both"/>
      </w:pPr>
      <w:r>
        <w:rPr>
          <w:rFonts w:ascii="Calibri Light" w:hAnsi="Calibri Light" w:cs="Calibri Light"/>
          <w:sz w:val="24"/>
          <w:sz-cs w:val="24"/>
        </w:rPr>
        <w:t xml:space="preserve">Le Département de Vaucluse est en partenariat avec le FIPHFP depuis 2012, à raison de 3 conventions triannuelles, chacune prolongée par un avenant. </w:t>
      </w:r>
    </w:p>
    <w:p>
      <w:pPr>
        <w:jc w:val="both"/>
      </w:pPr>
      <w:r>
        <w:rPr>
          <w:rFonts w:ascii="Calibri Light" w:hAnsi="Calibri Light" w:cs="Calibri Light"/>
          <w:sz w:val="24"/>
          <w:sz-cs w:val="24"/>
        </w:rPr>
        <w:t xml:space="preserve">Cette collaboration a permis le recrutement de plus de 90 demandeurs d’emplois en situation de handicap et la mise en œuvre de plus de 550 aménagements de poste ou aides techniques à la compensation du handicap.</w:t>
      </w:r>
    </w:p>
    <w:p>
      <w:pPr>
        <w:jc w:val="both"/>
      </w:pPr>
      <w:r>
        <w:rPr>
          <w:rFonts w:ascii="Calibri Light" w:hAnsi="Calibri Light" w:cs="Calibri Light"/>
          <w:sz w:val="24"/>
          <w:sz-cs w:val="24"/>
        </w:rPr>
        <w:t xml:space="preserve">Pour mener à bien sa Politique Handicap, le Département de Vaucluse mobilise l’expertise de plusieurs acteurs agissants en transversalité en faveur des Bénéficiaires de l’Obligation d’Emploi : la médecine du travail, la prévention, la référente handicap, l’assistante sociale du personnel, la conseillère en évolution professionnelle, les gestionnaires carrières et les gestionnaires maladies.</w:t>
      </w:r>
    </w:p>
    <w:p>
      <w:pPr>
        <w:jc w:val="both"/>
      </w:pPr>
      <w:r>
        <w:rPr>
          <w:rFonts w:ascii="Calibri" w:hAnsi="Calibri" w:cs="Calibri"/>
          <w:sz w:val="24"/>
          <w:sz-cs w:val="24"/>
          <w:b/>
        </w:rPr>
        <w:t xml:space="preserve"/>
        <w:br w:type="page"/>
        <w:t xml:space="preserve"/>
      </w:r>
    </w:p>
    <w:p>
      <w:pPr>
        <w:jc w:val="both"/>
      </w:pPr>
      <w:r>
        <w:rPr>
          <w:rFonts w:ascii="Calibri" w:hAnsi="Calibri" w:cs="Calibri"/>
          <w:sz w:val="24"/>
          <w:sz-cs w:val="24"/>
          <w:b/>
        </w:rPr>
        <w:t xml:space="preserve">Le handicap en quelques chiffres au sein du Département de Vaucluse</w:t>
      </w:r>
    </w:p>
    <w:p>
      <w:pPr>
        <w:jc w:val="both"/>
        <w:ind w:left="720" w:first-line="-720"/>
        <w:spacing w:before="60"/>
      </w:pPr>
      <w:r>
        <w:rPr>
          <w:rFonts w:ascii="Calibri Light" w:hAnsi="Calibri Light" w:cs="Calibri Light"/>
          <w:sz w:val="24"/>
          <w:sz-cs w:val="24"/>
        </w:rPr>
        <w:t xml:space="preserve"/>
        <w:tab/>
        <w:t xml:space="preserve">•</w:t>
        <w:tab/>
        <w:t xml:space="preserve">Au 31 décembre 2023, on compte 197 agents en situation de handicap, dont la moyenne d’âge s’élève à 53 ans,</w:t>
      </w:r>
    </w:p>
    <w:p>
      <w:pPr>
        <w:jc w:val="both"/>
        <w:ind w:left="720" w:first-line="-720"/>
        <w:spacing w:before="60"/>
      </w:pPr>
      <w:r>
        <w:rPr>
          <w:rFonts w:ascii="Calibri Light" w:hAnsi="Calibri Light" w:cs="Calibri Light"/>
          <w:sz w:val="24"/>
          <w:sz-cs w:val="24"/>
        </w:rPr>
        <w:t xml:space="preserve"/>
        <w:tab/>
        <w:t xml:space="preserve">•</w:t>
        <w:tab/>
        <w:t xml:space="preserve">Sur ces 197 agents, on compte 73.60 % de femmes (contre 80 % de femmes en 2022),</w:t>
      </w:r>
    </w:p>
    <w:p>
      <w:pPr>
        <w:jc w:val="both"/>
        <w:ind w:left="720" w:first-line="-720"/>
        <w:spacing w:before="60"/>
      </w:pPr>
      <w:r>
        <w:rPr>
          <w:rFonts w:ascii="Calibri Light" w:hAnsi="Calibri Light" w:cs="Calibri Light"/>
          <w:sz w:val="24"/>
          <w:sz-cs w:val="24"/>
        </w:rPr>
        <w:t xml:space="preserve"/>
        <w:tab/>
        <w:t xml:space="preserve">•</w:t>
        <w:tab/>
        <w:t xml:space="preserve">Sur l’année 2023, le taux d’emploi direct est de 7,87 % (contre 7,23 % en 2022),</w:t>
      </w:r>
    </w:p>
    <w:p>
      <w:pPr>
        <w:jc w:val="both"/>
        <w:ind w:left="720" w:first-line="-720"/>
        <w:spacing w:before="60"/>
      </w:pPr>
      <w:r>
        <w:rPr>
          <w:rFonts w:ascii="Calibri Light" w:hAnsi="Calibri Light" w:cs="Calibri Light"/>
          <w:sz w:val="24"/>
          <w:sz-cs w:val="24"/>
        </w:rPr>
        <w:t xml:space="preserve"/>
        <w:tab/>
        <w:t xml:space="preserve">•</w:t>
        <w:tab/>
        <w:t xml:space="preserve">1 contrat d’apprentissage a été signé en 2023, 3 contrats signés en 2022 et 2 en 2021,</w:t>
      </w:r>
    </w:p>
    <w:p>
      <w:pPr>
        <w:jc w:val="both"/>
        <w:ind w:left="720" w:first-line="-720"/>
        <w:spacing w:before="60"/>
      </w:pPr>
      <w:r>
        <w:rPr>
          <w:rFonts w:ascii="Calibri Light" w:hAnsi="Calibri Light" w:cs="Calibri Light"/>
          <w:sz w:val="24"/>
          <w:sz-cs w:val="24"/>
        </w:rPr>
        <w:t xml:space="preserve"/>
        <w:tab/>
        <w:t xml:space="preserve">•</w:t>
        <w:tab/>
        <w:t xml:space="preserve">162 aménagements de l’environnement de travail ou aides techniques à la compensation du handicap ont pu être mis en place au cours de la précédente convention de 2020 à 2023.</w:t>
      </w:r>
    </w:p>
    <w:p>
      <w:pPr>
        <w:jc w:val="both"/>
      </w:pPr>
      <w:r>
        <w:rPr>
          <w:rFonts w:ascii="Calibri" w:hAnsi="Calibri" w:cs="Calibri"/>
          <w:sz w:val="24"/>
          <w:sz-cs w:val="24"/>
          <w:b/>
        </w:rPr>
        <w:t xml:space="preserve">À propos du FIPHFP</w:t>
      </w:r>
    </w:p>
    <w:p>
      <w:pPr>
        <w:jc w:val="both"/>
        <w:spacing w:before="60"/>
      </w:pPr>
      <w:r>
        <w:rPr>
          <w:rFonts w:ascii="Calibri Light" w:hAnsi="Calibri Light" w:cs="Calibri Light"/>
          <w:sz w:val="24"/>
          <w:sz-cs w:val="24"/>
        </w:rPr>
        <w:t xml:space="preserve">Le FIPHFP, au service des employeurs publics</w:t>
      </w:r>
    </w:p>
    <w:p>
      <w:pPr>
        <w:jc w:val="both"/>
        <w:spacing w:before="60"/>
      </w:pPr>
      <w:r>
        <w:rPr>
          <w:rFonts w:ascii="Calibri Light" w:hAnsi="Calibri Light" w:cs="Calibri Light"/>
          <w:sz w:val="24"/>
          <w:sz-cs w:val="24"/>
        </w:rPr>
        <w:t xml:space="preserve">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pPr>
        <w:jc w:val="both"/>
        <w:spacing w:before="60"/>
      </w:pPr>
      <w:r>
        <w:rPr>
          <w:rFonts w:ascii="Calibri Light" w:hAnsi="Calibri Light" w:cs="Calibri Light"/>
          <w:sz w:val="24"/>
          <w:sz-cs w:val="24"/>
        </w:rPr>
        <w:t xml:space="preserve"> Depuis sa création, le taux d’emploi dans la Fonction publique est passé de 3,55 % en 2006 à 5,45 % en 2022. Dans la territoriale, les collectivités remplissent leurs obligations légale avec un taux de 6,72 % contre 5,53 % pour l’hospitalière et 4,36 % pour l’État.</w:t>
      </w:r>
    </w:p>
    <w:p>
      <w:pPr>
        <w:jc w:val="both"/>
        <w:spacing w:before="60"/>
      </w:pPr>
      <w:r>
        <w:rPr>
          <w:rFonts w:ascii="Calibri Light" w:hAnsi="Calibri Light" w:cs="Calibri Light"/>
          <w:sz w:val="24"/>
          <w:sz-cs w:val="24"/>
        </w:rPr>
        <w:t xml:space="preserve"> 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pPr>
        <w:jc w:val="both"/>
        <w:spacing w:before="60"/>
      </w:pPr>
      <w:r>
        <w:rPr>
          <w:rFonts w:ascii="Calibri Light" w:hAnsi="Calibri Light" w:cs="Calibri Light"/>
          <w:sz w:val="24"/>
          <w:sz-cs w:val="24"/>
        </w:rPr>
        <w:t xml:space="preserve">Plus d’informations sur www.fiphfp.fr</w:t>
      </w:r>
    </w:p>
    <w:p>
      <w:pPr>
        <w:jc w:val="both"/>
        <w:spacing w:before="60"/>
      </w:pPr>
      <w:r>
        <w:rPr>
          <w:rFonts w:ascii="Calibri Light" w:hAnsi="Calibri Light" w:cs="Calibri Light"/>
          <w:sz w:val="24"/>
          <w:sz-cs w:val="24"/>
        </w:rPr>
        <w:t xml:space="preserve">Suivez le FIPHFP sur les réseaux sociaux </w:t>
      </w:r>
      <w:r>
        <w:rPr>
          <w:rFonts w:ascii="Calibri Light" w:hAnsi="Calibri Light" w:cs="Calibri Light"/>
          <w:sz w:val="24"/>
          <w:sz-cs w:val="24"/>
          <w:color w:val="0000FF"/>
        </w:rPr>
        <w:t xml:space="preserve">@FIPHFP</w:t>
      </w:r>
    </w:p>
    <w:p>
      <w:pPr>
        <w:spacing w:before="120"/>
      </w:pPr>
      <w:r>
        <w:rPr>
          <w:rFonts w:ascii="Calibri Light" w:hAnsi="Calibri Light" w:cs="Calibri Light"/>
          <w:sz w:val="24"/>
          <w:sz-cs w:val="24"/>
        </w:rPr>
        <w:t xml:space="preserve"> </w:t>
      </w:r>
      <w:r>
        <w:rPr>
          <w:rFonts w:ascii="Calibri" w:hAnsi="Calibri" w:cs="Calibri"/>
          <w:sz w:val="24"/>
          <w:sz-cs w:val="24"/>
          <w:b/>
        </w:rPr>
        <w:t xml:space="preserve">À propos du groupe Caisse des Dépôts</w:t>
      </w:r>
    </w:p>
    <w:p>
      <w:pPr>
        <w:jc w:val="both"/>
        <w:spacing w:before="60"/>
      </w:pPr>
      <w:r>
        <w:rPr>
          <w:rFonts w:ascii="Calibri Light" w:hAnsi="Calibri Light" w:cs="Calibri Light"/>
          <w:sz w:val="24"/>
          <w:sz-cs w:val="24"/>
        </w:rPr>
        <w:t xml:space="preserve">La Caisse des Dépôts et ses filiales constituent un groupe public, investisseur de long terme au service de l’intérêt général et du développement économique des territoires.</w:t>
      </w:r>
    </w:p>
    <w:p>
      <w:pPr>
        <w:jc w:val="both"/>
        <w:spacing w:before="60"/>
      </w:pPr>
      <w:r>
        <w:rPr>
          <w:rFonts w:ascii="Calibri Light" w:hAnsi="Calibri Light" w:cs="Calibri Light"/>
          <w:sz w:val="24"/>
          <w:sz-cs w:val="24"/>
        </w:rPr>
        <w:t xml:space="preserve">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pPr>
        <w:jc w:val="both"/>
        <w:spacing w:before="60"/>
      </w:pPr>
      <w:r>
        <w:rPr>
          <w:rFonts w:ascii="Calibri Light" w:hAnsi="Calibri Light" w:cs="Calibri Light"/>
          <w:sz w:val="24"/>
          <w:sz-cs w:val="24"/>
        </w:rPr>
        <w:t xml:space="preserve">Plus d’informations sur https://www.caissedesdepots.fr/</w:t>
      </w:r>
    </w:p>
    <w:p>
      <w:pPr>
        <w:jc w:val="both"/>
        <w:spacing w:before="60"/>
      </w:pPr>
      <w:r>
        <w:rPr>
          <w:rFonts w:ascii="Calibri Light" w:hAnsi="Calibri Light" w:cs="Calibri Light"/>
          <w:sz w:val="24"/>
          <w:sz-cs w:val="24"/>
        </w:rPr>
        <w:t xml:space="preserve"/>
      </w:r>
    </w:p>
    <w:p>
      <w:pPr>
        <w:jc w:val="both"/>
        <w:spacing w:before="60"/>
      </w:pPr>
      <w:r>
        <w:rPr>
          <w:rFonts w:ascii="Calibri Light" w:hAnsi="Calibri Light" w:cs="Calibri Light"/>
          <w:sz w:val="24"/>
          <w:sz-cs w:val="24"/>
        </w:rPr>
        <w:t xml:space="preserve"> Contact Presse du FIPHFP : Auverny-Bennetot : fauverny@image7.fr</w:t>
      </w:r>
    </w:p>
    <w:p>
      <w:pPr>
        <w:jc w:val="both"/>
        <w:spacing w:before="60"/>
      </w:pPr>
      <w:r>
        <w:rPr>
          <w:rFonts w:ascii="Calibri" w:hAnsi="Calibri" w:cs="Calibri"/>
          <w:sz w:val="24"/>
          <w:sz-cs w:val="24"/>
          <w:b/>
        </w:rPr>
        <w:t xml:space="preserve">À propos du FIPHFP</w:t>
      </w:r>
    </w:p>
    <w:p>
      <w:pPr>
        <w:jc w:val="both"/>
        <w:spacing w:before="60"/>
      </w:pPr>
      <w:r>
        <w:rPr>
          <w:rFonts w:ascii="Calibri Light" w:hAnsi="Calibri Light" w:cs="Calibri Light"/>
          <w:sz w:val="24"/>
          <w:sz-cs w:val="24"/>
        </w:rPr>
        <w:t xml:space="preserve">Le FIPHFP, au service des employeurs publics</w:t>
      </w:r>
    </w:p>
    <w:p>
      <w:pPr>
        <w:jc w:val="both"/>
        <w:spacing w:before="60"/>
      </w:pPr>
      <w:r>
        <w:rPr>
          <w:rFonts w:ascii="Calibri Light" w:hAnsi="Calibri Light" w:cs="Calibri Light"/>
          <w:sz w:val="24"/>
          <w:sz-cs w:val="24"/>
        </w:rPr>
        <w:t xml:space="preserve">Créé par la loi du 11 février 2005 et mis en place en 2006, le FIPHFP, Fonds pour l’insertion des personnes handicapées dans la Fonction publique, finance les actions de recrutement, de maintien dans l’emploi, de formation et d’accessibilité des personnes en situation de handicap dans les trois versants de la Fonction publique (ministères, villes, conseils départementaux et régionaux, hôpitaux…). Il intervient sur l’ensemble du territoire et pour tous les employeurs publics en proposant des aides ponctuelles sur sa plateforme en ligne, ou par l’intermédiaire de conventions pluriannuelles avec les employeurs et dans le cadre du programme accessibilité.</w:t>
      </w:r>
    </w:p>
    <w:p>
      <w:pPr>
        <w:jc w:val="both"/>
        <w:spacing w:before="60"/>
      </w:pPr>
      <w:r>
        <w:rPr>
          <w:rFonts w:ascii="Calibri Light" w:hAnsi="Calibri Light" w:cs="Calibri Light"/>
          <w:sz w:val="24"/>
          <w:sz-cs w:val="24"/>
        </w:rPr>
        <w:t xml:space="preserve"> Depuis sa création, le taux d’emploi dans la Fonction publique est passé de 3,55 % en 2006 à 5,45 % en 2022. Dans la territoriale, les collectivités remplissent leurs obligations légale avec un taux de 6,72 % contre 5,53 % pour l’hospitalière et 4,36 % pour l’État.</w:t>
      </w:r>
    </w:p>
    <w:p>
      <w:pPr>
        <w:jc w:val="both"/>
        <w:spacing w:before="60"/>
      </w:pPr>
      <w:r>
        <w:rPr>
          <w:rFonts w:ascii="Calibri Light" w:hAnsi="Calibri Light" w:cs="Calibri Light"/>
          <w:sz w:val="24"/>
          <w:sz-cs w:val="24"/>
        </w:rPr>
        <w:t xml:space="preserve"> Le FIPHFP est un établissement public national dirigé par Marine NEUVILLE : « il est placé sous la tutelle des ministres chargés des personnes handicapées, de la fonction publique de l’État, de la fonction publique territoriale, de la fonction publique hospitalière et du budget » (décret n° 2006-501 du 3 mai 2006). Sa gestion administrative est assurée par la Caisse des Dépôts.</w:t>
      </w:r>
    </w:p>
    <w:p>
      <w:pPr>
        <w:jc w:val="both"/>
        <w:spacing w:before="60"/>
      </w:pPr>
      <w:r>
        <w:rPr>
          <w:rFonts w:ascii="Calibri Light" w:hAnsi="Calibri Light" w:cs="Calibri Light"/>
          <w:sz w:val="24"/>
          <w:sz-cs w:val="24"/>
        </w:rPr>
        <w:t xml:space="preserve">Plus d’informations sur www.fiphfp.fr</w:t>
      </w:r>
    </w:p>
    <w:p>
      <w:pPr>
        <w:jc w:val="both"/>
        <w:spacing w:before="60"/>
      </w:pPr>
      <w:r>
        <w:rPr>
          <w:rFonts w:ascii="Calibri Light" w:hAnsi="Calibri Light" w:cs="Calibri Light"/>
          <w:sz w:val="24"/>
          <w:sz-cs w:val="24"/>
        </w:rPr>
        <w:t xml:space="preserve">Suivez le FIPHFP sur les réseaux sociaux </w:t>
      </w:r>
      <w:r>
        <w:rPr>
          <w:rFonts w:ascii="Calibri Light" w:hAnsi="Calibri Light" w:cs="Calibri Light"/>
          <w:sz w:val="24"/>
          <w:sz-cs w:val="24"/>
          <w:color w:val="0000FF"/>
        </w:rPr>
        <w:t xml:space="preserve">@FIPHFP</w:t>
      </w:r>
    </w:p>
    <w:p>
      <w:pPr>
        <w:spacing w:before="120"/>
      </w:pPr>
      <w:r>
        <w:rPr>
          <w:rFonts w:ascii="Calibri Light" w:hAnsi="Calibri Light" w:cs="Calibri Light"/>
          <w:sz w:val="24"/>
          <w:sz-cs w:val="24"/>
        </w:rPr>
        <w:t xml:space="preserve"> </w:t>
      </w:r>
      <w:r>
        <w:rPr>
          <w:rFonts w:ascii="Calibri" w:hAnsi="Calibri" w:cs="Calibri"/>
          <w:sz w:val="24"/>
          <w:sz-cs w:val="24"/>
          <w:b/>
        </w:rPr>
        <w:t xml:space="preserve">À propos du groupe Caisse des Dépôts</w:t>
      </w:r>
    </w:p>
    <w:p>
      <w:pPr>
        <w:jc w:val="both"/>
        <w:spacing w:before="60"/>
      </w:pPr>
      <w:r>
        <w:rPr>
          <w:rFonts w:ascii="Calibri Light" w:hAnsi="Calibri Light" w:cs="Calibri Light"/>
          <w:sz w:val="24"/>
          <w:sz-cs w:val="24"/>
        </w:rPr>
        <w:t xml:space="preserve">La Caisse des Dépôts et ses filiales constituent un groupe public, investisseur de long terme au service de l’intérêt général et du développement économique des territoires.</w:t>
      </w:r>
    </w:p>
    <w:p>
      <w:pPr>
        <w:jc w:val="both"/>
        <w:spacing w:before="60"/>
      </w:pPr>
      <w:r>
        <w:rPr>
          <w:rFonts w:ascii="Calibri Light" w:hAnsi="Calibri Light" w:cs="Calibri Light"/>
          <w:sz w:val="24"/>
          <w:sz-cs w:val="24"/>
        </w:rPr>
        <w:t xml:space="preserve">Elle regroupe cinq domaines d’expertise : les politiques sociales (retraite, formation professionnelle, handicap, grand âge et santé), les gestions d’actifs, le suivi des filiales et des participations, le financement des entreprises (avec Bpifrance) et la Banque des Territoires</w:t>
      </w:r>
    </w:p>
    <w:p>
      <w:pPr>
        <w:jc w:val="both"/>
        <w:spacing w:before="60"/>
      </w:pPr>
      <w:r>
        <w:rPr>
          <w:rFonts w:ascii="Calibri Light" w:hAnsi="Calibri Light" w:cs="Calibri Light"/>
          <w:sz w:val="24"/>
          <w:sz-cs w:val="24"/>
        </w:rPr>
        <w:t xml:space="preserve">Plus d’informations sur https://www.caissedesdepots.fr/</w:t>
      </w:r>
    </w:p>
    <w:p>
      <w:pPr>
        <w:jc w:val="both"/>
        <w:spacing w:before="60"/>
      </w:pPr>
      <w:r>
        <w:rPr>
          <w:rFonts w:ascii="Calibri Light" w:hAnsi="Calibri Light" w:cs="Calibri Light"/>
          <w:sz w:val="24"/>
          <w:sz-cs w:val="24"/>
        </w:rPr>
        <w:t xml:space="preserve"/>
      </w:r>
    </w:p>
    <w:p>
      <w:pPr>
        <w:jc w:val="both"/>
        <w:spacing w:before="60"/>
      </w:pPr>
      <w:r>
        <w:rPr>
          <w:rFonts w:ascii="Calibri Light" w:hAnsi="Calibri Light" w:cs="Calibri Light"/>
          <w:sz w:val="24"/>
          <w:sz-cs w:val="24"/>
        </w:rPr>
        <w:t xml:space="preserve"> Contact Presse du FIPHFP : Auverny-Bennetot : fauverny@image7.fr</w:t>
      </w:r>
    </w:p>
    <w:p>
      <w:pPr>
        <w:jc w:val="both"/>
      </w:pPr>
      <w:r>
        <w:rPr>
          <w:rFonts w:ascii="Calibri Light" w:hAnsi="Calibri Light" w:cs="Calibri Light"/>
          <w:sz w:val="24"/>
          <w:sz-cs w:val="24"/>
        </w:rPr>
        <w:t xml:space="preserve"/>
      </w:r>
    </w:p>
    <w:sectPr>
      <w:pgSz w:w="11900" w:h="16840"/>
      <w:pgMar w:top="851" w:right="1133" w:bottom="993" w:left="1134"/>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Departement de Vaucluse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Slembrouck Emilie</dc:creator>
</cp:coreProperties>
</file>

<file path=docProps/meta.xml><?xml version="1.0" encoding="utf-8"?>
<meta xmlns="http://schemas.apple.com/cocoa/2006/metadata">
  <generator>CocoaOOXMLWriter/2299.74</generator>
</meta>
</file>