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top w:w="170" w:type="dxa"/>
          <w:left w:w="57" w:type="dxa"/>
          <w:bottom w:w="170" w:type="dxa"/>
          <w:right w:w="57" w:type="dxa"/>
        </w:tblCellMar>
        <w:tblLook w:val="0000" w:firstRow="0" w:lastRow="0" w:firstColumn="0" w:lastColumn="0" w:noHBand="0" w:noVBand="0"/>
      </w:tblPr>
      <w:tblGrid>
        <w:gridCol w:w="9638"/>
      </w:tblGrid>
      <w:tr w:rsidR="00B305CD">
        <w:trPr>
          <w:trHeight w:val="2100"/>
        </w:trPr>
        <w:tc>
          <w:tcPr>
            <w:tcW w:w="9638" w:type="dxa"/>
          </w:tcPr>
          <w:p w:rsidR="00B305CD" w:rsidRDefault="00000000">
            <w:pPr>
              <w:pStyle w:val="Contenudetableau"/>
              <w:jc w:val="center"/>
              <w:rPr>
                <w:rFonts w:ascii="Arial" w:hAnsi="Arial"/>
              </w:rPr>
            </w:pPr>
            <w:r>
              <w:rPr>
                <w:noProof/>
              </w:rPr>
              <w:drawing>
                <wp:inline distT="0" distB="0" distL="0" distR="0">
                  <wp:extent cx="1080135" cy="1146810"/>
                  <wp:effectExtent l="0" t="0" r="0" b="0"/>
                  <wp:docPr id="1" name="Logo FIPHFP" descr="Logo du FIPH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PHFP" descr="Logo du FIPHFP"/>
                          <pic:cNvPicPr>
                            <a:picLocks noChangeAspect="1" noChangeArrowheads="1"/>
                          </pic:cNvPicPr>
                        </pic:nvPicPr>
                        <pic:blipFill>
                          <a:blip r:embed="rId5"/>
                          <a:srcRect b="-10249"/>
                          <a:stretch>
                            <a:fillRect/>
                          </a:stretch>
                        </pic:blipFill>
                        <pic:spPr bwMode="auto">
                          <a:xfrm>
                            <a:off x="0" y="0"/>
                            <a:ext cx="1080135" cy="1146810"/>
                          </a:xfrm>
                          <a:prstGeom prst="rect">
                            <a:avLst/>
                          </a:prstGeom>
                        </pic:spPr>
                      </pic:pic>
                    </a:graphicData>
                  </a:graphic>
                </wp:inline>
              </w:drawing>
            </w:r>
          </w:p>
        </w:tc>
      </w:tr>
      <w:tr w:rsidR="00B305CD">
        <w:trPr>
          <w:trHeight w:val="315"/>
        </w:trPr>
        <w:tc>
          <w:tcPr>
            <w:tcW w:w="9638" w:type="dxa"/>
            <w:shd w:val="clear" w:color="auto" w:fill="23003E"/>
          </w:tcPr>
          <w:p w:rsidR="00B305CD" w:rsidRDefault="00000000">
            <w:pPr>
              <w:pStyle w:val="N1"/>
              <w:widowControl w:val="0"/>
            </w:pPr>
            <w:r>
              <w:t xml:space="preserve">La journée </w:t>
            </w:r>
            <w:proofErr w:type="spellStart"/>
            <w:r>
              <w:t>DuoDay</w:t>
            </w:r>
            <w:proofErr w:type="spellEnd"/>
          </w:p>
        </w:tc>
      </w:tr>
      <w:tr w:rsidR="00B305CD">
        <w:tc>
          <w:tcPr>
            <w:tcW w:w="9638" w:type="dxa"/>
          </w:tcPr>
          <w:p w:rsidR="00B305CD" w:rsidRDefault="00000000">
            <w:pPr>
              <w:pStyle w:val="NormalWeb"/>
              <w:widowControl w:val="0"/>
              <w:spacing w:before="227"/>
            </w:pPr>
            <w:r>
              <w:t>À l’occasion de la Semaine Européenne pour l’Emploi des Personnes Handicapées, de nombreux employeurs accueilleront des lycéens, des étudiants, des demandeurs d’emploi et des personnes travaillant en entreprise adaptée (EA) ou en établissement et services d’aide par le travail (ÉSAT).</w:t>
            </w:r>
          </w:p>
          <w:p w:rsidR="00B305CD" w:rsidRDefault="00000000">
            <w:pPr>
              <w:pStyle w:val="NormalWeb"/>
              <w:widowControl w:val="0"/>
            </w:pPr>
            <w:r>
              <w:t xml:space="preserve">L’objectif de cette journée est d’organiser des rencontres entre des personnes en situation de handicap et des employeurs. </w:t>
            </w:r>
          </w:p>
          <w:p w:rsidR="00B305CD" w:rsidRDefault="00000000">
            <w:pPr>
              <w:pStyle w:val="NormalWeb"/>
              <w:widowControl w:val="0"/>
              <w:jc w:val="center"/>
            </w:pPr>
            <w:r>
              <w:rPr>
                <w:noProof/>
              </w:rPr>
              <w:drawing>
                <wp:inline distT="0" distB="0" distL="0" distR="0">
                  <wp:extent cx="3197860" cy="1800225"/>
                  <wp:effectExtent l="0" t="0" r="0" b="0"/>
                  <wp:docPr id="2" name="Mobilisation DuoDay">
                    <a:hlinkClick xmlns:a="http://schemas.openxmlformats.org/drawingml/2006/main" r:id="rId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bilisation DuoDay">
                            <a:hlinkClick r:id="rId6"/>
                          </pic:cNvPr>
                          <pic:cNvPicPr>
                            <a:picLocks noChangeAspect="1" noChangeArrowheads="1"/>
                          </pic:cNvPicPr>
                        </pic:nvPicPr>
                        <pic:blipFill>
                          <a:blip r:embed="rId7"/>
                          <a:stretch>
                            <a:fillRect/>
                          </a:stretch>
                        </pic:blipFill>
                        <pic:spPr bwMode="auto">
                          <a:xfrm>
                            <a:off x="0" y="0"/>
                            <a:ext cx="3197860" cy="1800225"/>
                          </a:xfrm>
                          <a:prstGeom prst="rect">
                            <a:avLst/>
                          </a:prstGeom>
                        </pic:spPr>
                      </pic:pic>
                    </a:graphicData>
                  </a:graphic>
                </wp:inline>
              </w:drawing>
            </w:r>
          </w:p>
          <w:p w:rsidR="00B305CD" w:rsidRDefault="00000000">
            <w:pPr>
              <w:pStyle w:val="NormalWeb"/>
              <w:widowControl w:val="0"/>
            </w:pPr>
            <w:r>
              <w:t>Cette journée est une véritable opportunité :</w:t>
            </w:r>
          </w:p>
          <w:p w:rsidR="00B305CD" w:rsidRDefault="00000000">
            <w:pPr>
              <w:pStyle w:val="NormalWeb"/>
              <w:widowControl w:val="0"/>
              <w:numPr>
                <w:ilvl w:val="0"/>
                <w:numId w:val="1"/>
              </w:numPr>
              <w:ind w:left="709" w:hanging="255"/>
            </w:pPr>
            <w:r>
              <w:rPr>
                <w:b/>
                <w:bCs/>
              </w:rPr>
              <w:t xml:space="preserve">Pour les étudiants </w:t>
            </w:r>
            <w:r>
              <w:br/>
              <w:t xml:space="preserve">Pour réussir leur insertion professionnelle à l’issue de leurs études, les étudiants en situation de handicap auront besoin d’être au clair sur leurs besoins de compensation en situation de travail. Les employeurs participant au </w:t>
            </w:r>
            <w:proofErr w:type="spellStart"/>
            <w:r>
              <w:t>Duoday</w:t>
            </w:r>
            <w:proofErr w:type="spellEnd"/>
            <w:r>
              <w:t xml:space="preserve"> sont attentifs à ces besoins. Le </w:t>
            </w:r>
            <w:proofErr w:type="spellStart"/>
            <w:r>
              <w:t>DuoDay</w:t>
            </w:r>
            <w:proofErr w:type="spellEnd"/>
            <w:r>
              <w:t xml:space="preserve"> est donc l’opportunité de poser les jalons d’un stage qui permettra de travailler la compensation du handicap.</w:t>
            </w:r>
          </w:p>
          <w:p w:rsidR="00B305CD" w:rsidRDefault="00000000">
            <w:pPr>
              <w:pStyle w:val="NormalWeb"/>
              <w:widowControl w:val="0"/>
              <w:numPr>
                <w:ilvl w:val="0"/>
                <w:numId w:val="1"/>
              </w:numPr>
              <w:ind w:left="709" w:hanging="255"/>
            </w:pPr>
            <w:r>
              <w:rPr>
                <w:b/>
                <w:bCs/>
              </w:rPr>
              <w:t xml:space="preserve">Pour les lycéens </w:t>
            </w:r>
            <w:r>
              <w:br/>
              <w:t xml:space="preserve">Le </w:t>
            </w:r>
            <w:proofErr w:type="spellStart"/>
            <w:r>
              <w:t>DuoDay</w:t>
            </w:r>
            <w:proofErr w:type="spellEnd"/>
            <w:r>
              <w:t xml:space="preserve"> est l’opportunité d’aller découvrir un environnement professionnel, un métier, ou de confirmer une orientation professionnelle.</w:t>
            </w:r>
          </w:p>
          <w:p w:rsidR="00B305CD" w:rsidRDefault="00000000">
            <w:pPr>
              <w:pStyle w:val="NormalWeb"/>
              <w:widowControl w:val="0"/>
              <w:numPr>
                <w:ilvl w:val="0"/>
                <w:numId w:val="1"/>
              </w:numPr>
              <w:ind w:left="709" w:hanging="255"/>
            </w:pPr>
            <w:r>
              <w:rPr>
                <w:b/>
                <w:bCs/>
              </w:rPr>
              <w:t xml:space="preserve">Pour les demandeurs d’emploi </w:t>
            </w:r>
            <w:r>
              <w:br/>
              <w:t xml:space="preserve">Pour la construction du projet professionnel, le </w:t>
            </w:r>
            <w:proofErr w:type="spellStart"/>
            <w:r>
              <w:t>DuoDay</w:t>
            </w:r>
            <w:proofErr w:type="spellEnd"/>
            <w:r>
              <w:t xml:space="preserve"> permet de découvrir des employeurs et des métiers, voire de confirmer un projet. Pour la recherche d’emploi, le </w:t>
            </w:r>
            <w:proofErr w:type="spellStart"/>
            <w:r>
              <w:t>DuoDay</w:t>
            </w:r>
            <w:proofErr w:type="spellEnd"/>
            <w:r>
              <w:t xml:space="preserve"> permet de se faire connaître d’un employeur, et de renforcer son réseau, de découvrir des opportunités.</w:t>
            </w:r>
          </w:p>
          <w:p w:rsidR="00B305CD" w:rsidRDefault="00000000">
            <w:pPr>
              <w:pStyle w:val="NormalWeb"/>
              <w:widowControl w:val="0"/>
              <w:numPr>
                <w:ilvl w:val="0"/>
                <w:numId w:val="1"/>
              </w:numPr>
              <w:ind w:left="709" w:hanging="255"/>
            </w:pPr>
            <w:r>
              <w:rPr>
                <w:b/>
                <w:bCs/>
              </w:rPr>
              <w:t xml:space="preserve">Pour le personnel d’entreprises adaptées (EA) ou en établissements et services d’aide par le travail (ÉSAT) </w:t>
            </w:r>
            <w:r>
              <w:br/>
              <w:t xml:space="preserve">Le </w:t>
            </w:r>
            <w:proofErr w:type="spellStart"/>
            <w:r>
              <w:t>DuoDay</w:t>
            </w:r>
            <w:proofErr w:type="spellEnd"/>
            <w:r>
              <w:t xml:space="preserve"> permet de tester sur une journée une immersion chez un employeur ordinaire pour se faire connaître ou avoir une idée des conditions d’exercice des métiers dans un environnement ordinaire de travail.</w:t>
            </w:r>
          </w:p>
          <w:p w:rsidR="00B305CD" w:rsidRDefault="00000000">
            <w:pPr>
              <w:pStyle w:val="NormalWeb"/>
              <w:widowControl w:val="0"/>
              <w:spacing w:after="340"/>
            </w:pPr>
            <w:r>
              <w:t xml:space="preserve">Pour consulter les offres de duos et s'inscrire, </w:t>
            </w:r>
            <w:proofErr w:type="spellStart"/>
            <w:r>
              <w:t>rendez vous</w:t>
            </w:r>
            <w:proofErr w:type="spellEnd"/>
            <w:r>
              <w:t xml:space="preserve"> sur </w:t>
            </w:r>
            <w:hyperlink r:id="rId8">
              <w:r>
                <w:rPr>
                  <w:rStyle w:val="Lienhypertexte"/>
                </w:rPr>
                <w:t>https://duoday.fr/</w:t>
              </w:r>
            </w:hyperlink>
          </w:p>
        </w:tc>
      </w:tr>
      <w:tr w:rsidR="00B305CD">
        <w:tc>
          <w:tcPr>
            <w:tcW w:w="9638" w:type="dxa"/>
            <w:shd w:val="clear" w:color="auto" w:fill="23003E"/>
          </w:tcPr>
          <w:p w:rsidR="00B305CD" w:rsidRDefault="00000000">
            <w:pPr>
              <w:pStyle w:val="N1"/>
              <w:widowControl w:val="0"/>
            </w:pPr>
            <w:r>
              <w:lastRenderedPageBreak/>
              <w:t xml:space="preserve">Bénéfices d’une journée </w:t>
            </w:r>
            <w:proofErr w:type="spellStart"/>
            <w:r>
              <w:t>DuoDay</w:t>
            </w:r>
            <w:proofErr w:type="spellEnd"/>
          </w:p>
        </w:tc>
      </w:tr>
      <w:tr w:rsidR="00B305CD">
        <w:tc>
          <w:tcPr>
            <w:tcW w:w="9638" w:type="dxa"/>
          </w:tcPr>
          <w:p w:rsidR="00B305CD" w:rsidRDefault="00000000">
            <w:pPr>
              <w:pStyle w:val="NormalWeb"/>
              <w:widowControl w:val="0"/>
              <w:spacing w:before="227"/>
            </w:pPr>
            <w:r>
              <w:t xml:space="preserve">Découvrez le témoignage d’Hugo, pour qui le </w:t>
            </w:r>
            <w:proofErr w:type="spellStart"/>
            <w:r>
              <w:t>DuoDay</w:t>
            </w:r>
            <w:proofErr w:type="spellEnd"/>
            <w:r>
              <w:t xml:space="preserve"> a été un tournant dans son parcours de formation et pour son insertion professionnelle.</w:t>
            </w:r>
          </w:p>
          <w:p w:rsidR="00B305CD" w:rsidRDefault="00000000">
            <w:pPr>
              <w:pStyle w:val="NormalWeb"/>
              <w:widowControl w:val="0"/>
              <w:jc w:val="center"/>
            </w:pPr>
            <w:r>
              <w:rPr>
                <w:noProof/>
              </w:rPr>
              <w:drawing>
                <wp:inline distT="0" distB="0" distL="0" distR="0">
                  <wp:extent cx="2926715" cy="1800225"/>
                  <wp:effectExtent l="0" t="0" r="0" b="0"/>
                  <wp:docPr id="3" name="Témoignage Hugo Perron" descr="Vidéo témoignage d'Hugo Perron">
                    <a:hlinkClick xmlns:a="http://schemas.openxmlformats.org/drawingml/2006/main" r:id="rId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émoignage Hugo Perron" descr="Vidéo témoignage d'Hugo Perron">
                            <a:hlinkClick r:id="rId9"/>
                          </pic:cNvPr>
                          <pic:cNvPicPr>
                            <a:picLocks noChangeAspect="1" noChangeArrowheads="1"/>
                          </pic:cNvPicPr>
                        </pic:nvPicPr>
                        <pic:blipFill>
                          <a:blip r:embed="rId10"/>
                          <a:stretch>
                            <a:fillRect/>
                          </a:stretch>
                        </pic:blipFill>
                        <pic:spPr bwMode="auto">
                          <a:xfrm>
                            <a:off x="0" y="0"/>
                            <a:ext cx="2926715" cy="1800225"/>
                          </a:xfrm>
                          <a:prstGeom prst="rect">
                            <a:avLst/>
                          </a:prstGeom>
                        </pic:spPr>
                      </pic:pic>
                    </a:graphicData>
                  </a:graphic>
                </wp:inline>
              </w:drawing>
            </w:r>
          </w:p>
          <w:p w:rsidR="00B305CD" w:rsidRDefault="00000000">
            <w:pPr>
              <w:pStyle w:val="NormalWeb"/>
              <w:widowControl w:val="0"/>
            </w:pPr>
            <w:r>
              <w:t xml:space="preserve">Pour en savoir plus ou participer au </w:t>
            </w:r>
            <w:proofErr w:type="spellStart"/>
            <w:r>
              <w:t>DuoDay</w:t>
            </w:r>
            <w:proofErr w:type="spellEnd"/>
            <w:r>
              <w:t xml:space="preserve"> 2023, veuillez prendre contact avec vos professionnels accompagnants (enseignants, formateurs, conseilleur à l’emploi, conseiller d’insertion…)</w:t>
            </w:r>
          </w:p>
        </w:tc>
      </w:tr>
      <w:tr w:rsidR="00B305CD">
        <w:tc>
          <w:tcPr>
            <w:tcW w:w="9638" w:type="dxa"/>
            <w:shd w:val="clear" w:color="auto" w:fill="23003E"/>
          </w:tcPr>
          <w:p w:rsidR="00B305CD" w:rsidRDefault="00000000">
            <w:pPr>
              <w:pStyle w:val="N1"/>
              <w:widowControl w:val="0"/>
              <w:spacing w:before="28" w:after="113"/>
            </w:pPr>
            <w:r>
              <w:t>Pour suivre l’actualité du FIPHFP et du Handi-Pacte</w:t>
            </w:r>
          </w:p>
          <w:tbl>
            <w:tblPr>
              <w:tblW w:w="2000" w:type="pct"/>
              <w:jc w:val="center"/>
              <w:tblLayout w:type="fixed"/>
              <w:tblCellMar>
                <w:top w:w="55" w:type="dxa"/>
                <w:left w:w="55" w:type="dxa"/>
                <w:bottom w:w="55" w:type="dxa"/>
                <w:right w:w="55" w:type="dxa"/>
              </w:tblCellMar>
              <w:tblLook w:val="0000" w:firstRow="0" w:lastRow="0" w:firstColumn="0" w:lastColumn="0" w:noHBand="0" w:noVBand="0"/>
            </w:tblPr>
            <w:tblGrid>
              <w:gridCol w:w="952"/>
              <w:gridCol w:w="953"/>
              <w:gridCol w:w="951"/>
              <w:gridCol w:w="954"/>
            </w:tblGrid>
            <w:tr w:rsidR="00B305CD">
              <w:trPr>
                <w:jc w:val="center"/>
              </w:trPr>
              <w:tc>
                <w:tcPr>
                  <w:tcW w:w="952" w:type="dxa"/>
                </w:tcPr>
                <w:p w:rsidR="00B305CD" w:rsidRDefault="00000000">
                  <w:pPr>
                    <w:pStyle w:val="Contenudetableau"/>
                    <w:jc w:val="center"/>
                    <w:rPr>
                      <w:rFonts w:ascii="Arial" w:hAnsi="Arial"/>
                    </w:rPr>
                  </w:pPr>
                  <w:r>
                    <w:rPr>
                      <w:noProof/>
                    </w:rPr>
                    <w:drawing>
                      <wp:inline distT="0" distB="0" distL="0" distR="0">
                        <wp:extent cx="394970" cy="394970"/>
                        <wp:effectExtent l="0" t="0" r="0" b="0"/>
                        <wp:docPr id="4" name="Image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6">
                                  <a:hlinkClick r:id="rId11"/>
                                </pic:cNvPr>
                                <pic:cNvPicPr>
                                  <a:picLocks noChangeAspect="1" noChangeArrowheads="1"/>
                                </pic:cNvPicPr>
                              </pic:nvPicPr>
                              <pic:blipFill>
                                <a:blip r:embed="rId12"/>
                                <a:stretch>
                                  <a:fillRect/>
                                </a:stretch>
                              </pic:blipFill>
                              <pic:spPr bwMode="auto">
                                <a:xfrm>
                                  <a:off x="0" y="0"/>
                                  <a:ext cx="394970" cy="394970"/>
                                </a:xfrm>
                                <a:prstGeom prst="rect">
                                  <a:avLst/>
                                </a:prstGeom>
                              </pic:spPr>
                            </pic:pic>
                          </a:graphicData>
                        </a:graphic>
                      </wp:inline>
                    </w:drawing>
                  </w:r>
                </w:p>
              </w:tc>
              <w:tc>
                <w:tcPr>
                  <w:tcW w:w="952" w:type="dxa"/>
                </w:tcPr>
                <w:p w:rsidR="00B305CD" w:rsidRDefault="00000000">
                  <w:pPr>
                    <w:pStyle w:val="Contenudetableau"/>
                    <w:jc w:val="center"/>
                    <w:rPr>
                      <w:rFonts w:ascii="Arial" w:hAnsi="Arial"/>
                    </w:rPr>
                  </w:pPr>
                  <w:r>
                    <w:rPr>
                      <w:noProof/>
                    </w:rPr>
                    <w:drawing>
                      <wp:inline distT="0" distB="0" distL="0" distR="0">
                        <wp:extent cx="394970" cy="394970"/>
                        <wp:effectExtent l="0" t="0" r="0" b="0"/>
                        <wp:docPr id="5" name="Image 1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5">
                                  <a:hlinkClick r:id="rId13"/>
                                </pic:cNvPr>
                                <pic:cNvPicPr>
                                  <a:picLocks noChangeAspect="1" noChangeArrowheads="1"/>
                                </pic:cNvPicPr>
                              </pic:nvPicPr>
                              <pic:blipFill>
                                <a:blip r:embed="rId14"/>
                                <a:stretch>
                                  <a:fillRect/>
                                </a:stretch>
                              </pic:blipFill>
                              <pic:spPr bwMode="auto">
                                <a:xfrm>
                                  <a:off x="0" y="0"/>
                                  <a:ext cx="394970" cy="394970"/>
                                </a:xfrm>
                                <a:prstGeom prst="rect">
                                  <a:avLst/>
                                </a:prstGeom>
                              </pic:spPr>
                            </pic:pic>
                          </a:graphicData>
                        </a:graphic>
                      </wp:inline>
                    </w:drawing>
                  </w:r>
                </w:p>
              </w:tc>
              <w:tc>
                <w:tcPr>
                  <w:tcW w:w="951" w:type="dxa"/>
                </w:tcPr>
                <w:p w:rsidR="00B305CD" w:rsidRDefault="00000000">
                  <w:pPr>
                    <w:pStyle w:val="Contenudetableau"/>
                    <w:jc w:val="center"/>
                    <w:rPr>
                      <w:rFonts w:ascii="Arial" w:hAnsi="Arial"/>
                    </w:rPr>
                  </w:pPr>
                  <w:r>
                    <w:rPr>
                      <w:noProof/>
                    </w:rPr>
                    <w:drawing>
                      <wp:inline distT="0" distB="0" distL="0" distR="0">
                        <wp:extent cx="402590" cy="402590"/>
                        <wp:effectExtent l="0" t="0" r="0" b="0"/>
                        <wp:docPr id="6" name="Image 1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6">
                                  <a:hlinkClick r:id="rId15"/>
                                </pic:cNvPr>
                                <pic:cNvPicPr>
                                  <a:picLocks noChangeAspect="1" noChangeArrowheads="1"/>
                                </pic:cNvPicPr>
                              </pic:nvPicPr>
                              <pic:blipFill>
                                <a:blip r:embed="rId16"/>
                                <a:stretch>
                                  <a:fillRect/>
                                </a:stretch>
                              </pic:blipFill>
                              <pic:spPr bwMode="auto">
                                <a:xfrm>
                                  <a:off x="0" y="0"/>
                                  <a:ext cx="402590" cy="402590"/>
                                </a:xfrm>
                                <a:prstGeom prst="rect">
                                  <a:avLst/>
                                </a:prstGeom>
                              </pic:spPr>
                            </pic:pic>
                          </a:graphicData>
                        </a:graphic>
                      </wp:inline>
                    </w:drawing>
                  </w:r>
                </w:p>
              </w:tc>
              <w:tc>
                <w:tcPr>
                  <w:tcW w:w="953" w:type="dxa"/>
                </w:tcPr>
                <w:p w:rsidR="00B305CD" w:rsidRDefault="00000000">
                  <w:pPr>
                    <w:pStyle w:val="Contenudetableau"/>
                    <w:jc w:val="center"/>
                    <w:rPr>
                      <w:rFonts w:ascii="Arial" w:hAnsi="Arial"/>
                    </w:rPr>
                  </w:pPr>
                  <w:r>
                    <w:rPr>
                      <w:noProof/>
                    </w:rPr>
                    <w:drawing>
                      <wp:inline distT="0" distB="0" distL="0" distR="0">
                        <wp:extent cx="431800" cy="431800"/>
                        <wp:effectExtent l="0" t="0" r="0" b="0"/>
                        <wp:docPr id="7" name="Image 1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7">
                                  <a:hlinkClick r:id="rId17"/>
                                </pic:cNvPr>
                                <pic:cNvPicPr>
                                  <a:picLocks noChangeAspect="1" noChangeArrowheads="1"/>
                                </pic:cNvPicPr>
                              </pic:nvPicPr>
                              <pic:blipFill>
                                <a:blip r:embed="rId18"/>
                                <a:stretch>
                                  <a:fillRect/>
                                </a:stretch>
                              </pic:blipFill>
                              <pic:spPr bwMode="auto">
                                <a:xfrm>
                                  <a:off x="0" y="0"/>
                                  <a:ext cx="431800" cy="431800"/>
                                </a:xfrm>
                                <a:prstGeom prst="rect">
                                  <a:avLst/>
                                </a:prstGeom>
                              </pic:spPr>
                            </pic:pic>
                          </a:graphicData>
                        </a:graphic>
                      </wp:inline>
                    </w:drawing>
                  </w:r>
                </w:p>
              </w:tc>
            </w:tr>
          </w:tbl>
          <w:p w:rsidR="00B305CD" w:rsidRDefault="00B305CD">
            <w:pPr>
              <w:pStyle w:val="N1"/>
              <w:widowControl w:val="0"/>
            </w:pPr>
          </w:p>
        </w:tc>
      </w:tr>
      <w:tr w:rsidR="00B305CD">
        <w:tc>
          <w:tcPr>
            <w:tcW w:w="9638" w:type="dxa"/>
          </w:tcPr>
          <w:tbl>
            <w:tblPr>
              <w:tblW w:w="4100" w:type="pct"/>
              <w:tblLayout w:type="fixed"/>
              <w:tblCellMar>
                <w:top w:w="284" w:type="dxa"/>
                <w:left w:w="113" w:type="dxa"/>
                <w:right w:w="113" w:type="dxa"/>
              </w:tblCellMar>
              <w:tblLook w:val="0000" w:firstRow="0" w:lastRow="0" w:firstColumn="0" w:lastColumn="0" w:noHBand="0" w:noVBand="0"/>
            </w:tblPr>
            <w:tblGrid>
              <w:gridCol w:w="3903"/>
              <w:gridCol w:w="3907"/>
            </w:tblGrid>
            <w:tr w:rsidR="00B305CD">
              <w:tc>
                <w:tcPr>
                  <w:tcW w:w="3902" w:type="dxa"/>
                </w:tcPr>
                <w:p w:rsidR="00B305CD" w:rsidRDefault="00000000">
                  <w:pPr>
                    <w:pStyle w:val="Contenudetableau"/>
                    <w:jc w:val="right"/>
                    <w:rPr>
                      <w:rFonts w:ascii="Arial" w:hAnsi="Arial"/>
                    </w:rPr>
                  </w:pPr>
                  <w:r>
                    <w:rPr>
                      <w:noProof/>
                    </w:rPr>
                    <w:drawing>
                      <wp:inline distT="0" distB="0" distL="0" distR="0">
                        <wp:extent cx="821055" cy="828040"/>
                        <wp:effectExtent l="0" t="0" r="0" b="0"/>
                        <wp:docPr id="8"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9"/>
                                <pic:cNvPicPr>
                                  <a:picLocks noChangeAspect="1" noChangeArrowheads="1"/>
                                </pic:cNvPicPr>
                              </pic:nvPicPr>
                              <pic:blipFill>
                                <a:blip r:embed="rId19"/>
                                <a:stretch>
                                  <a:fillRect/>
                                </a:stretch>
                              </pic:blipFill>
                              <pic:spPr bwMode="auto">
                                <a:xfrm>
                                  <a:off x="0" y="0"/>
                                  <a:ext cx="821055" cy="828040"/>
                                </a:xfrm>
                                <a:prstGeom prst="rect">
                                  <a:avLst/>
                                </a:prstGeom>
                              </pic:spPr>
                            </pic:pic>
                          </a:graphicData>
                        </a:graphic>
                      </wp:inline>
                    </w:drawing>
                  </w:r>
                </w:p>
              </w:tc>
              <w:tc>
                <w:tcPr>
                  <w:tcW w:w="3906" w:type="dxa"/>
                </w:tcPr>
                <w:p w:rsidR="00B305CD" w:rsidRDefault="00000000">
                  <w:pPr>
                    <w:pStyle w:val="Contenudetableau"/>
                    <w:rPr>
                      <w:rFonts w:ascii="Arial" w:hAnsi="Arial"/>
                    </w:rPr>
                  </w:pPr>
                  <w:r>
                    <w:rPr>
                      <w:noProof/>
                    </w:rPr>
                    <w:drawing>
                      <wp:inline distT="0" distB="0" distL="0" distR="0">
                        <wp:extent cx="1969135" cy="828040"/>
                        <wp:effectExtent l="0" t="0" r="0" b="0"/>
                        <wp:docPr id="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8"/>
                                <pic:cNvPicPr>
                                  <a:picLocks noChangeAspect="1" noChangeArrowheads="1"/>
                                </pic:cNvPicPr>
                              </pic:nvPicPr>
                              <pic:blipFill>
                                <a:blip r:embed="rId20"/>
                                <a:srcRect b="10017"/>
                                <a:stretch>
                                  <a:fillRect/>
                                </a:stretch>
                              </pic:blipFill>
                              <pic:spPr bwMode="auto">
                                <a:xfrm>
                                  <a:off x="0" y="0"/>
                                  <a:ext cx="1969135" cy="828040"/>
                                </a:xfrm>
                                <a:prstGeom prst="rect">
                                  <a:avLst/>
                                </a:prstGeom>
                              </pic:spPr>
                            </pic:pic>
                          </a:graphicData>
                        </a:graphic>
                      </wp:inline>
                    </w:drawing>
                  </w:r>
                </w:p>
              </w:tc>
            </w:tr>
          </w:tbl>
          <w:p w:rsidR="00B305CD" w:rsidRDefault="00B305CD">
            <w:pPr>
              <w:pStyle w:val="Contenudetableau"/>
              <w:rPr>
                <w:rFonts w:ascii="Arial" w:hAnsi="Arial"/>
              </w:rPr>
            </w:pPr>
          </w:p>
        </w:tc>
      </w:tr>
      <w:tr w:rsidR="00B305CD">
        <w:tc>
          <w:tcPr>
            <w:tcW w:w="9638" w:type="dxa"/>
          </w:tcPr>
          <w:p w:rsidR="00B305CD" w:rsidRDefault="00000000">
            <w:pPr>
              <w:pStyle w:val="NormalWeb"/>
              <w:widowControl w:val="0"/>
              <w:spacing w:before="113"/>
              <w:jc w:val="center"/>
              <w:rPr>
                <w:rFonts w:cs="Arial"/>
                <w:color w:val="92B93C"/>
                <w:sz w:val="18"/>
                <w:szCs w:val="18"/>
              </w:rPr>
            </w:pPr>
            <w:r>
              <w:rPr>
                <w:rFonts w:cs="Arial"/>
                <w:color w:val="92B93C"/>
                <w:sz w:val="18"/>
                <w:szCs w:val="18"/>
              </w:rPr>
              <w:t>Ce mail est édité par le Handi-Pacte du FIPHFP Bourgogne-Franche-Comté</w:t>
            </w:r>
            <w:r>
              <w:rPr>
                <w:rFonts w:cs="Arial"/>
                <w:color w:val="92B93C"/>
                <w:sz w:val="18"/>
                <w:szCs w:val="18"/>
              </w:rPr>
              <w:br/>
              <w:t xml:space="preserve">Contact : Stéphane </w:t>
            </w:r>
            <w:proofErr w:type="spellStart"/>
            <w:r>
              <w:rPr>
                <w:rFonts w:cs="Arial"/>
                <w:color w:val="92B93C"/>
                <w:sz w:val="18"/>
                <w:szCs w:val="18"/>
              </w:rPr>
              <w:t>Gainaux</w:t>
            </w:r>
            <w:proofErr w:type="spellEnd"/>
            <w:r>
              <w:rPr>
                <w:rFonts w:cs="Arial"/>
                <w:color w:val="92B93C"/>
                <w:sz w:val="18"/>
                <w:szCs w:val="18"/>
              </w:rPr>
              <w:t xml:space="preserve"> - </w:t>
            </w:r>
            <w:hyperlink r:id="rId21">
              <w:r>
                <w:rPr>
                  <w:rStyle w:val="Lienhypertexte"/>
                  <w:rFonts w:cs="Arial"/>
                  <w:color w:val="92B93C"/>
                  <w:sz w:val="18"/>
                  <w:szCs w:val="18"/>
                </w:rPr>
                <w:t>contact@ehconseil.fr</w:t>
              </w:r>
            </w:hyperlink>
            <w:r>
              <w:rPr>
                <w:rFonts w:cs="Arial"/>
                <w:color w:val="92B93C"/>
                <w:sz w:val="18"/>
                <w:szCs w:val="18"/>
              </w:rPr>
              <w:t xml:space="preserve"> - téléphone 03 81 84 17 63</w:t>
            </w:r>
          </w:p>
          <w:p w:rsidR="00B305CD" w:rsidRDefault="00000000">
            <w:pPr>
              <w:widowControl w:val="0"/>
              <w:jc w:val="center"/>
              <w:outlineLvl w:val="0"/>
              <w:rPr>
                <w:rFonts w:ascii="Arial" w:eastAsia="Times New Roman" w:hAnsi="Arial" w:cs="Arial"/>
                <w:b/>
                <w:bCs/>
                <w:color w:val="FFFFFF"/>
                <w:sz w:val="33"/>
                <w:szCs w:val="33"/>
                <w:lang w:eastAsia="fr-FR"/>
              </w:rPr>
            </w:pPr>
            <w:hyperlink r:id="rId22" w:tgtFrame="_blank">
              <w:r>
                <w:rPr>
                  <w:rStyle w:val="Lienhypertexte"/>
                  <w:rFonts w:ascii="Arial" w:hAnsi="Arial" w:cs="Arial"/>
                  <w:color w:val="C9442A"/>
                  <w:sz w:val="18"/>
                  <w:szCs w:val="18"/>
                </w:rPr>
                <w:t>S'abonner à la lettre d'information du FIPHFP</w:t>
              </w:r>
            </w:hyperlink>
          </w:p>
        </w:tc>
      </w:tr>
    </w:tbl>
    <w:p w:rsidR="00B305CD" w:rsidRDefault="00B305CD">
      <w:pPr>
        <w:pStyle w:val="NormalWeb"/>
      </w:pPr>
    </w:p>
    <w:sectPr w:rsidR="00B305CD">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Pluto Light">
    <w:altName w:val="Calibri"/>
    <w:panose1 w:val="020B0604020202020204"/>
    <w:charset w:val="01"/>
    <w:family w:val="auto"/>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E43E3"/>
    <w:multiLevelType w:val="multilevel"/>
    <w:tmpl w:val="4C887D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C454519"/>
    <w:multiLevelType w:val="multilevel"/>
    <w:tmpl w:val="0E2067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91843964">
    <w:abstractNumId w:val="1"/>
  </w:num>
  <w:num w:numId="2" w16cid:durableId="723482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CD"/>
    <w:rsid w:val="00B305CD"/>
    <w:rsid w:val="00EB63B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4010FEA6-15FB-2A40-9069-D4BCE321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luto Light" w:eastAsia="NSimSun" w:hAnsi="Pluto Light"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00FF"/>
      <w:u w:val="single"/>
    </w:rPr>
  </w:style>
  <w:style w:type="character" w:styleId="Lienhypertextesuivivisit">
    <w:name w:val="FollowedHyperlink"/>
    <w:rPr>
      <w:color w:val="800000"/>
      <w:u w:val="single"/>
    </w:rPr>
  </w:style>
  <w:style w:type="character" w:customStyle="1" w:styleId="Puces">
    <w:name w:val="Puces"/>
    <w:qFormat/>
    <w:rPr>
      <w:rFonts w:ascii="OpenSymbol" w:eastAsia="OpenSymbol" w:hAnsi="OpenSymbol" w:cs="OpenSymbol"/>
    </w:rPr>
  </w:style>
  <w:style w:type="paragraph" w:styleId="Titre">
    <w:name w:val="Title"/>
    <w:basedOn w:val="Normal"/>
    <w:next w:val="Corpsdetexte"/>
    <w:uiPriority w:val="10"/>
    <w:qFormat/>
    <w:pPr>
      <w:keepNext/>
      <w:spacing w:before="240" w:after="120"/>
    </w:pPr>
    <w:rPr>
      <w:rFonts w:eastAsia="Microsoft YaHei"/>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widowControl w:val="0"/>
      <w:suppressLineNumbers/>
    </w:pPr>
  </w:style>
  <w:style w:type="paragraph" w:styleId="NormalWeb">
    <w:name w:val="Normal (Web)"/>
    <w:basedOn w:val="Normal"/>
    <w:qFormat/>
    <w:pPr>
      <w:spacing w:after="170"/>
    </w:pPr>
    <w:rPr>
      <w:rFonts w:ascii="Arial" w:eastAsia="Times New Roman" w:hAnsi="Arial" w:cs="Times New Roman"/>
      <w:sz w:val="20"/>
      <w:lang w:eastAsia="fr-FR"/>
    </w:rPr>
  </w:style>
  <w:style w:type="paragraph" w:customStyle="1" w:styleId="N1">
    <w:name w:val="N1"/>
    <w:qFormat/>
    <w:pPr>
      <w:jc w:val="center"/>
      <w:outlineLvl w:val="0"/>
    </w:pPr>
    <w:rPr>
      <w:rFonts w:ascii="Arial" w:hAnsi="Arial"/>
      <w:b/>
    </w:rPr>
  </w:style>
  <w:style w:type="paragraph" w:customStyle="1" w:styleId="Titredetableau">
    <w:name w:val="Titre de tableau"/>
    <w:basedOn w:val="Contenudetableau"/>
    <w:qFormat/>
    <w:pPr>
      <w:jc w:val="center"/>
    </w:pPr>
    <w:rPr>
      <w:b/>
      <w:bCs/>
    </w:rPr>
  </w:style>
  <w:style w:type="paragraph" w:customStyle="1" w:styleId="N2">
    <w:name w:val="N2"/>
    <w:qFormat/>
    <w:pPr>
      <w:spacing w:before="227" w:after="113"/>
      <w:jc w:val="center"/>
      <w:outlineLvl w:val="1"/>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uoday.fr/" TargetMode="External"/><Relationship Id="rId13" Type="http://schemas.openxmlformats.org/officeDocument/2006/relationships/hyperlink" Target="https://twitter.com/FIPHFP"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mailto:contact@ehconseil.fr" TargetMode="Externa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https://www.youtube.com/channel/UCGepM40FTwgfGMwYVlvYuT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s://www.youtube.com/watch?v=lXN0TEzBFU0" TargetMode="External"/><Relationship Id="rId11" Type="http://schemas.openxmlformats.org/officeDocument/2006/relationships/hyperlink" Target="http://www.fiphfp.fr/"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fr.linkedin.com/company/fiphfp"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www.youtube.com/watch?v=Q2I19L9bW_s" TargetMode="External"/><Relationship Id="rId14" Type="http://schemas.openxmlformats.org/officeDocument/2006/relationships/image" Target="media/image5.png"/><Relationship Id="rId22" Type="http://schemas.openxmlformats.org/officeDocument/2006/relationships/hyperlink" Target="http://www.fiphfp.fr/newsletter/subscri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2148</Characters>
  <Application>Microsoft Office Word</Application>
  <DocSecurity>0</DocSecurity>
  <Lines>17</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2</cp:revision>
  <dcterms:created xsi:type="dcterms:W3CDTF">2023-10-25T12:18:00Z</dcterms:created>
  <dcterms:modified xsi:type="dcterms:W3CDTF">2023-10-25T12:18:00Z</dcterms:modified>
  <dc:language>fr-FR</dc:language>
</cp:coreProperties>
</file>