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media/image8.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7.png" ContentType="image/png"/>
  <Override PartName="/word/media/image9.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0" w:type="dxa"/>
        <w:tblLayout w:type="fixed"/>
        <w:tblCellMar>
          <w:top w:w="170" w:type="dxa"/>
          <w:left w:w="57" w:type="dxa"/>
          <w:bottom w:w="170" w:type="dxa"/>
          <w:right w:w="57" w:type="dxa"/>
        </w:tblCellMar>
      </w:tblPr>
      <w:tblGrid>
        <w:gridCol w:w="9638"/>
      </w:tblGrid>
      <w:tr>
        <w:trPr>
          <w:trHeight w:val="2100" w:hRule="atLeast"/>
        </w:trPr>
        <w:tc>
          <w:tcPr>
            <w:tcW w:w="9638" w:type="dxa"/>
            <w:tcBorders/>
          </w:tcPr>
          <w:p>
            <w:pPr>
              <w:pStyle w:val="Contenudetableau"/>
              <w:bidi w:val="0"/>
              <w:jc w:val="center"/>
              <w:rPr>
                <w:rFonts w:ascii="Arial" w:hAnsi="Arial"/>
              </w:rPr>
            </w:pPr>
            <w:r>
              <w:rPr>
                <w:rFonts w:ascii="Arial" w:hAnsi="Arial"/>
              </w:rPr>
              <w:drawing>
                <wp:inline distT="0" distB="0" distL="0" distR="0">
                  <wp:extent cx="1080135" cy="1146810"/>
                  <wp:effectExtent l="0" t="0" r="0" b="0"/>
                  <wp:docPr id="1" name="Logo FIPHFP" descr="Logo du FIPH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PHFP" descr="Logo du FIPHFP"/>
                          <pic:cNvPicPr>
                            <a:picLocks noChangeAspect="1" noChangeArrowheads="1"/>
                          </pic:cNvPicPr>
                        </pic:nvPicPr>
                        <pic:blipFill>
                          <a:blip r:embed="rId2"/>
                          <a:srcRect l="0" t="0" r="0" b="-10249"/>
                          <a:stretch>
                            <a:fillRect/>
                          </a:stretch>
                        </pic:blipFill>
                        <pic:spPr bwMode="auto">
                          <a:xfrm>
                            <a:off x="0" y="0"/>
                            <a:ext cx="1080135" cy="1146810"/>
                          </a:xfrm>
                          <a:prstGeom prst="rect">
                            <a:avLst/>
                          </a:prstGeom>
                        </pic:spPr>
                      </pic:pic>
                    </a:graphicData>
                  </a:graphic>
                </wp:inline>
              </w:drawing>
            </w:r>
          </w:p>
        </w:tc>
      </w:tr>
      <w:tr>
        <w:trPr>
          <w:trHeight w:val="315" w:hRule="atLeast"/>
        </w:trPr>
        <w:tc>
          <w:tcPr>
            <w:tcW w:w="9638" w:type="dxa"/>
            <w:tcBorders/>
            <w:shd w:fill="23003E" w:val="clear"/>
          </w:tcPr>
          <w:p>
            <w:pPr>
              <w:pStyle w:val="N1"/>
              <w:bidi w:val="0"/>
              <w:rPr/>
            </w:pPr>
            <w:r>
              <w:rPr/>
              <w:t xml:space="preserve">Sécurisation du retour </w:t>
            </w:r>
            <w:r>
              <w:rPr/>
              <w:t>après un arrêt de travail</w:t>
            </w:r>
          </w:p>
        </w:tc>
      </w:tr>
      <w:tr>
        <w:trPr/>
        <w:tc>
          <w:tcPr>
            <w:tcW w:w="9638" w:type="dxa"/>
            <w:tcBorders/>
          </w:tcPr>
          <w:p>
            <w:pPr>
              <w:pStyle w:val="NormalWeb"/>
              <w:bidi w:val="0"/>
              <w:spacing w:before="227" w:after="170"/>
              <w:jc w:val="left"/>
              <w:rPr/>
            </w:pPr>
            <w:r>
              <w:rPr/>
              <w:t>Chers collègues,</w:t>
            </w:r>
          </w:p>
          <w:p>
            <w:pPr>
              <w:pStyle w:val="NormalWeb"/>
              <w:bidi w:val="0"/>
              <w:spacing w:lineRule="auto" w:line="240" w:before="0" w:after="170"/>
              <w:jc w:val="left"/>
              <w:rPr/>
            </w:pPr>
            <w:r>
              <w:rPr/>
              <w:t>La vie peut nous réserver des imprévus, et il se peut que certains d'entre nous soient confrontés à des arrêts maladie répétés ou de longue durée. Face à de telles situations, l’anticipation et la préparation sont nos meilleurs alliés.</w:t>
            </w:r>
          </w:p>
          <w:p>
            <w:pPr>
              <w:pStyle w:val="NormalWeb"/>
              <w:bidi w:val="0"/>
              <w:spacing w:lineRule="auto" w:line="240" w:before="0" w:after="170"/>
              <w:jc w:val="left"/>
              <w:rPr/>
            </w:pPr>
            <w:r>
              <w:rPr/>
              <w:t xml:space="preserve">Notre structure est engagée dans une politique de maintien dans l’emploi des personnes fragilisées sur leur poste de travail par leur état de santé. Mais pour agir de manière optimale, nous devons agir dès que l’agent se sent en capacité de se projeter sur son retour. </w:t>
            </w:r>
          </w:p>
          <w:p>
            <w:pPr>
              <w:pStyle w:val="NormalWeb"/>
              <w:bidi w:val="0"/>
              <w:spacing w:before="0" w:after="113"/>
              <w:jc w:val="left"/>
              <w:rPr/>
            </w:pPr>
            <w:r>
              <w:rPr/>
              <w:t>D</w:t>
            </w:r>
            <w:r>
              <w:rPr/>
              <w:t>è</w:t>
            </w:r>
            <w:r>
              <w:rPr/>
              <w:t>s que l’agent se projette sur sa reprise, nous l’encourageons à solliciter :</w:t>
            </w:r>
          </w:p>
          <w:p>
            <w:pPr>
              <w:pStyle w:val="N2"/>
              <w:bidi w:val="0"/>
              <w:jc w:val="left"/>
              <w:rPr/>
            </w:pPr>
            <w:r>
              <w:rPr/>
              <w:t xml:space="preserve">1. </w:t>
            </w:r>
            <w:r>
              <w:rPr/>
              <w:t>le médecin du travail, pour une visite à la demande/pré-reprise</w:t>
            </w:r>
          </w:p>
          <w:p>
            <w:pPr>
              <w:pStyle w:val="NormalWeb"/>
              <w:bidi w:val="0"/>
              <w:spacing w:lineRule="auto" w:line="240" w:before="0" w:after="170"/>
              <w:ind w:left="227" w:right="0" w:hanging="0"/>
              <w:jc w:val="left"/>
              <w:rPr/>
            </w:pPr>
            <w:r>
              <w:rPr/>
              <w:t>Lors de ce rendez-vous, l’agent apporte au médecin du travail des éléments éclairants fournis par son médecin traitant. Cette démarche facilite un dialogue ouvert sur sa situation et sur les mesures d’accompagnement possibles pour un retour au travail serein et adapté.</w:t>
            </w:r>
          </w:p>
          <w:p>
            <w:pPr>
              <w:pStyle w:val="NormalWeb"/>
              <w:bidi w:val="0"/>
              <w:spacing w:before="113" w:after="170"/>
              <w:jc w:val="center"/>
              <w:rPr/>
            </w:pPr>
            <w:r>
              <w:rPr/>
              <w:t>Découvrez comment le médecin du travail peut vous accompagner</w:t>
            </w:r>
          </w:p>
          <w:p>
            <w:pPr>
              <w:pStyle w:val="NormalWeb"/>
              <w:bidi w:val="0"/>
              <w:jc w:val="center"/>
              <w:rPr/>
            </w:pPr>
            <w:r>
              <w:rPr/>
              <w:drawing>
                <wp:inline distT="0" distB="0" distL="0" distR="0">
                  <wp:extent cx="3100070" cy="1800225"/>
                  <wp:effectExtent l="0" t="0" r="0" b="0"/>
                  <wp:docPr id="2" name="Vidéo 1" descr="Vidéo &quot;comment le médecin du travail peut vous accompagner&quo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éo 1" descr="Vidéo &quot;comment le médecin du travail peut vous accompagner&quot;">
                            <a:hlinkClick r:id="rId4"/>
                          </pic:cNvPr>
                          <pic:cNvPicPr>
                            <a:picLocks noChangeAspect="1" noChangeArrowheads="1"/>
                          </pic:cNvPicPr>
                        </pic:nvPicPr>
                        <pic:blipFill>
                          <a:blip r:embed="rId3"/>
                          <a:stretch>
                            <a:fillRect/>
                          </a:stretch>
                        </pic:blipFill>
                        <pic:spPr bwMode="auto">
                          <a:xfrm>
                            <a:off x="0" y="0"/>
                            <a:ext cx="3100070" cy="1800225"/>
                          </a:xfrm>
                          <a:prstGeom prst="rect">
                            <a:avLst/>
                          </a:prstGeom>
                        </pic:spPr>
                      </pic:pic>
                    </a:graphicData>
                  </a:graphic>
                </wp:inline>
              </w:drawing>
            </w:r>
          </w:p>
          <w:p>
            <w:pPr>
              <w:pStyle w:val="N2"/>
              <w:bidi w:val="0"/>
              <w:jc w:val="left"/>
              <w:rPr/>
            </w:pPr>
            <w:r>
              <w:rPr/>
              <w:t xml:space="preserve">2. </w:t>
            </w:r>
            <w:r>
              <w:rPr/>
              <w:t>Le services RH ou le référent handica</w:t>
            </w:r>
            <w:r>
              <w:rPr/>
              <w:t>p</w:t>
            </w:r>
          </w:p>
          <w:p>
            <w:pPr>
              <w:pStyle w:val="NormalWeb"/>
              <w:bidi w:val="0"/>
              <w:spacing w:lineRule="auto" w:line="240" w:before="0" w:after="170"/>
              <w:ind w:left="227" w:right="0" w:hanging="0"/>
              <w:jc w:val="left"/>
              <w:rPr/>
            </w:pPr>
            <w:r>
              <w:rPr>
                <w:b/>
                <w:bCs/>
              </w:rPr>
              <w:t>Pour anticiper le jour du retour sur le poste</w:t>
            </w:r>
            <w:r>
              <w:rPr/>
              <w:t xml:space="preserve"> en collaborant étroitement avec le service des ressources humaines et le médecin du travail pour préparer l'aménagement du poste selon les besoins :</w:t>
            </w:r>
          </w:p>
          <w:p>
            <w:pPr>
              <w:pStyle w:val="NormalWeb"/>
              <w:numPr>
                <w:ilvl w:val="0"/>
                <w:numId w:val="1"/>
              </w:numPr>
              <w:bidi w:val="0"/>
              <w:jc w:val="left"/>
              <w:rPr/>
            </w:pPr>
            <w:r>
              <w:rPr>
                <w:b/>
                <w:bCs/>
              </w:rPr>
              <w:t>Aménagements Organisationnels :</w:t>
            </w:r>
            <w:r>
              <w:rPr/>
              <w:t xml:space="preserve"> adaptation des horaires, possibilité de télétravail, répartition modifiée des tâches, et intégration de pauses supplémentaires.</w:t>
            </w:r>
          </w:p>
          <w:p>
            <w:pPr>
              <w:pStyle w:val="NormalWeb"/>
              <w:numPr>
                <w:ilvl w:val="0"/>
                <w:numId w:val="1"/>
              </w:numPr>
              <w:bidi w:val="0"/>
              <w:jc w:val="left"/>
              <w:rPr/>
            </w:pPr>
            <w:r>
              <w:rPr>
                <w:b/>
                <w:bCs/>
              </w:rPr>
              <w:t>Aménagements Matériels :</w:t>
            </w:r>
            <w:r>
              <w:rPr/>
              <w:t xml:space="preserve"> </w:t>
            </w:r>
            <w:r>
              <w:rPr/>
              <w:t>f</w:t>
            </w:r>
            <w:r>
              <w:rPr/>
              <w:t>ourniture d'équipements ergonomiques, utilisation de technologies assistives, et adaptation de l'espace de travail pour un accès facile.</w:t>
            </w:r>
          </w:p>
          <w:p>
            <w:pPr>
              <w:pStyle w:val="NormalWeb"/>
              <w:numPr>
                <w:ilvl w:val="0"/>
                <w:numId w:val="1"/>
              </w:numPr>
              <w:bidi w:val="0"/>
              <w:jc w:val="left"/>
              <w:rPr/>
            </w:pPr>
            <w:r>
              <w:rPr>
                <w:b/>
                <w:bCs/>
              </w:rPr>
              <w:t>Accompagnement Humain :</w:t>
            </w:r>
            <w:r>
              <w:rPr/>
              <w:t xml:space="preserve"> soutien psychologique et mise en place de systèmes de tutorat ou de mentorat.</w:t>
            </w:r>
          </w:p>
          <w:p>
            <w:pPr>
              <w:pStyle w:val="NormalWeb"/>
              <w:bidi w:val="0"/>
              <w:spacing w:before="113" w:after="170"/>
              <w:jc w:val="center"/>
              <w:rPr/>
            </w:pPr>
            <w:r>
              <w:rPr/>
              <w:t xml:space="preserve">Découvrez comment le service oncologie de Normandie, met en exergue </w:t>
              <w:br/>
              <w:t>les besoins de la personne qui reprend une vie active après un long arrêt maladie.</w:t>
            </w:r>
          </w:p>
          <w:p>
            <w:pPr>
              <w:pStyle w:val="NormalWeb"/>
              <w:bidi w:val="0"/>
              <w:jc w:val="center"/>
              <w:rPr/>
            </w:pPr>
            <w:r>
              <w:rPr/>
              <w:drawing>
                <wp:inline distT="0" distB="0" distL="0" distR="0">
                  <wp:extent cx="3181350" cy="1800225"/>
                  <wp:effectExtent l="0" t="0" r="0" b="0"/>
                  <wp:docPr id="3" name="Vidéo oncologie" descr="Vidéo &quot;service oncologie de Normandie&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éo oncologie" descr="Vidéo &quot;service oncologie de Normandie&quot;">
                            <a:hlinkClick r:id="rId6"/>
                          </pic:cNvPr>
                          <pic:cNvPicPr>
                            <a:picLocks noChangeAspect="1" noChangeArrowheads="1"/>
                          </pic:cNvPicPr>
                        </pic:nvPicPr>
                        <pic:blipFill>
                          <a:blip r:embed="rId5"/>
                          <a:stretch>
                            <a:fillRect/>
                          </a:stretch>
                        </pic:blipFill>
                        <pic:spPr bwMode="auto">
                          <a:xfrm>
                            <a:off x="0" y="0"/>
                            <a:ext cx="3181350" cy="1800225"/>
                          </a:xfrm>
                          <a:prstGeom prst="rect">
                            <a:avLst/>
                          </a:prstGeom>
                        </pic:spPr>
                      </pic:pic>
                    </a:graphicData>
                  </a:graphic>
                </wp:inline>
              </w:drawing>
            </w:r>
          </w:p>
          <w:p>
            <w:pPr>
              <w:pStyle w:val="NormalWeb"/>
              <w:bidi w:val="0"/>
              <w:spacing w:lineRule="auto" w:line="240" w:before="170" w:after="170"/>
              <w:ind w:left="227" w:right="0" w:hanging="0"/>
              <w:jc w:val="left"/>
              <w:rPr/>
            </w:pPr>
            <w:r>
              <w:rPr>
                <w:b/>
                <w:bCs/>
              </w:rPr>
              <w:t>P</w:t>
            </w:r>
            <w:r>
              <w:rPr>
                <w:b/>
                <w:bCs/>
              </w:rPr>
              <w:t>our p</w:t>
            </w:r>
            <w:r>
              <w:rPr>
                <w:b/>
                <w:bCs/>
              </w:rPr>
              <w:t>réparer l’arrivée sur un nouveau poste :</w:t>
            </w:r>
            <w:r>
              <w:rPr/>
              <w:t xml:space="preserve"> </w:t>
            </w:r>
            <w:r>
              <w:rPr/>
              <w:t>s</w:t>
            </w:r>
            <w:r>
              <w:rPr/>
              <w:t>i le retour au poste initial n’est pas envisageable, il est désormais possible de réaliser durant l’arrêt de travail, avec l’accord de l’employeur et d’un médecin :</w:t>
            </w:r>
          </w:p>
          <w:p>
            <w:pPr>
              <w:pStyle w:val="NormalWeb"/>
              <w:numPr>
                <w:ilvl w:val="0"/>
                <w:numId w:val="2"/>
              </w:numPr>
              <w:bidi w:val="0"/>
              <w:spacing w:lineRule="auto" w:line="240" w:before="0" w:after="57"/>
              <w:jc w:val="left"/>
              <w:rPr/>
            </w:pPr>
            <w:r>
              <w:rPr/>
              <w:t>un bilan de compétences ou bilan professionnel</w:t>
            </w:r>
          </w:p>
          <w:p>
            <w:pPr>
              <w:pStyle w:val="NormalWeb"/>
              <w:numPr>
                <w:ilvl w:val="0"/>
                <w:numId w:val="2"/>
              </w:numPr>
              <w:bidi w:val="0"/>
              <w:spacing w:lineRule="auto" w:line="240" w:before="0" w:after="57"/>
              <w:jc w:val="left"/>
              <w:rPr/>
            </w:pPr>
            <w:r>
              <w:rPr/>
              <w:t xml:space="preserve">des immersions professionnelles pour découvrir ou confirmer le </w:t>
              <w:tab/>
              <w:t>nouveau poste, voire apprendre le métier.</w:t>
            </w:r>
          </w:p>
          <w:p>
            <w:pPr>
              <w:pStyle w:val="NormalWeb"/>
              <w:numPr>
                <w:ilvl w:val="0"/>
                <w:numId w:val="2"/>
              </w:numPr>
              <w:bidi w:val="0"/>
              <w:spacing w:lineRule="auto" w:line="240" w:before="0" w:after="170"/>
              <w:jc w:val="left"/>
              <w:rPr/>
            </w:pPr>
            <w:r>
              <w:rPr/>
              <w:t xml:space="preserve">des formations pour acquérir de nouvelles compétences </w:t>
            </w:r>
          </w:p>
          <w:p>
            <w:pPr>
              <w:pStyle w:val="NormalWeb"/>
              <w:bidi w:val="0"/>
              <w:spacing w:before="113" w:after="170"/>
              <w:jc w:val="center"/>
              <w:rPr/>
            </w:pPr>
            <w:r>
              <w:rPr/>
              <w:t xml:space="preserve">Découvrez comment les compétences de l’agent </w:t>
              <w:br/>
              <w:t xml:space="preserve">peuvent être transférables dans un autre domaine professionnel. </w:t>
              <w:br/>
              <w:t xml:space="preserve">Un nouveau départ dans la vie professionnelle est toujours possible ! </w:t>
              <w:br/>
            </w:r>
            <w:r>
              <w:rPr/>
              <w:t>Les agents du CHU de Reims témoignent.</w:t>
            </w:r>
          </w:p>
          <w:p>
            <w:pPr>
              <w:pStyle w:val="NormalWeb"/>
              <w:bidi w:val="0"/>
              <w:jc w:val="center"/>
              <w:rPr/>
            </w:pPr>
            <w:r>
              <w:rPr/>
              <w:drawing>
                <wp:inline distT="0" distB="0" distL="0" distR="0">
                  <wp:extent cx="3200400" cy="1800225"/>
                  <wp:effectExtent l="0" t="0" r="0" b="0"/>
                  <wp:docPr id="4" name="Image4"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a:hlinkClick r:id="rId8"/>
                          </pic:cNvPr>
                          <pic:cNvPicPr>
                            <a:picLocks noChangeAspect="1" noChangeArrowheads="1"/>
                          </pic:cNvPicPr>
                        </pic:nvPicPr>
                        <pic:blipFill>
                          <a:blip r:embed="rId7"/>
                          <a:stretch>
                            <a:fillRect/>
                          </a:stretch>
                        </pic:blipFill>
                        <pic:spPr bwMode="auto">
                          <a:xfrm>
                            <a:off x="0" y="0"/>
                            <a:ext cx="3200400" cy="1800225"/>
                          </a:xfrm>
                          <a:prstGeom prst="rect">
                            <a:avLst/>
                          </a:prstGeom>
                        </pic:spPr>
                      </pic:pic>
                    </a:graphicData>
                  </a:graphic>
                </wp:inline>
              </w:drawing>
            </w:r>
          </w:p>
          <w:p>
            <w:pPr>
              <w:pStyle w:val="NormalWeb"/>
              <w:bidi w:val="0"/>
              <w:jc w:val="left"/>
              <w:rPr/>
            </w:pPr>
            <w:r>
              <w:rPr/>
              <w:t xml:space="preserve">Il est prouvé qu’un retour au travail après un arrêt maladie long est plus réussi lorsqu’il est bien préparé. N’oublions pas qu’une absence prolongée peut réduire les chances de réintégration réussie dans l'emploi. L’engagement de chacun pour son propre maintien dans l’emploi ou pour contribuer au maintien des collègues sont importants. </w:t>
            </w:r>
          </w:p>
          <w:p>
            <w:pPr>
              <w:pStyle w:val="NormalWeb"/>
              <w:bidi w:val="0"/>
              <w:jc w:val="left"/>
              <w:rPr/>
            </w:pPr>
            <w:r>
              <w:rPr/>
              <w:t>Notre structure accompagne chaque agent. Je reste disponible.</w:t>
            </w:r>
          </w:p>
          <w:p>
            <w:pPr>
              <w:pStyle w:val="NormalWeb"/>
              <w:bidi w:val="0"/>
              <w:jc w:val="left"/>
              <w:rPr/>
            </w:pPr>
            <w:r>
              <w:rPr/>
              <w:t>Bien cordialement,</w:t>
            </w:r>
          </w:p>
          <w:p>
            <w:pPr>
              <w:pStyle w:val="NormalWeb"/>
              <w:bidi w:val="0"/>
              <w:spacing w:before="0" w:after="170"/>
              <w:jc w:val="left"/>
              <w:rPr>
                <w:b/>
                <w:bCs/>
              </w:rPr>
            </w:pPr>
            <w:r>
              <w:rPr>
                <w:b/>
                <w:bCs/>
              </w:rPr>
              <w:t>Signature du mail</w:t>
            </w:r>
          </w:p>
        </w:tc>
      </w:tr>
      <w:tr>
        <w:trPr/>
        <w:tc>
          <w:tcPr>
            <w:tcW w:w="9638" w:type="dxa"/>
            <w:tcBorders/>
            <w:shd w:fill="23003E" w:val="clear"/>
          </w:tcPr>
          <w:p>
            <w:pPr>
              <w:pStyle w:val="N1"/>
              <w:bidi w:val="0"/>
              <w:spacing w:before="28" w:after="113"/>
              <w:rPr/>
            </w:pPr>
            <w:r>
              <w:rPr/>
              <w:t>Pour suivre l’actualité du FIPHFP et du Handi-Pacte</w:t>
            </w:r>
          </w:p>
          <w:tbl>
            <w:tblPr>
              <w:tblW w:w="2000" w:type="pct"/>
              <w:jc w:val="center"/>
              <w:tblInd w:w="0" w:type="dxa"/>
              <w:tblLayout w:type="fixed"/>
              <w:tblCellMar>
                <w:top w:w="55" w:type="dxa"/>
                <w:left w:w="55" w:type="dxa"/>
                <w:bottom w:w="55" w:type="dxa"/>
                <w:right w:w="55" w:type="dxa"/>
              </w:tblCellMar>
            </w:tblPr>
            <w:tblGrid>
              <w:gridCol w:w="952"/>
              <w:gridCol w:w="952"/>
              <w:gridCol w:w="952"/>
              <w:gridCol w:w="953"/>
            </w:tblGrid>
            <w:tr>
              <w:trPr/>
              <w:tc>
                <w:tcPr>
                  <w:tcW w:w="952" w:type="dxa"/>
                  <w:tcBorders/>
                </w:tcPr>
                <w:p>
                  <w:pPr>
                    <w:pStyle w:val="Contenudetableau"/>
                    <w:bidi w:val="0"/>
                    <w:jc w:val="center"/>
                    <w:rPr>
                      <w:rFonts w:ascii="Arial" w:hAnsi="Arial"/>
                    </w:rPr>
                  </w:pPr>
                  <w:r>
                    <w:rPr>
                      <w:rFonts w:ascii="Arial" w:hAnsi="Arial"/>
                    </w:rPr>
                    <w:drawing>
                      <wp:inline distT="0" distB="0" distL="0" distR="0">
                        <wp:extent cx="394970" cy="394970"/>
                        <wp:effectExtent l="0" t="0" r="0" b="0"/>
                        <wp:docPr id="5" name="Image 6"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
                                  <a:hlinkClick r:id="rId10"/>
                                </pic:cNvPr>
                                <pic:cNvPicPr>
                                  <a:picLocks noChangeAspect="1" noChangeArrowheads="1"/>
                                </pic:cNvPicPr>
                              </pic:nvPicPr>
                              <pic:blipFill>
                                <a:blip r:embed="rId9"/>
                                <a:stretch>
                                  <a:fillRect/>
                                </a:stretch>
                              </pic:blipFill>
                              <pic:spPr bwMode="auto">
                                <a:xfrm>
                                  <a:off x="0" y="0"/>
                                  <a:ext cx="394970" cy="394970"/>
                                </a:xfrm>
                                <a:prstGeom prst="rect">
                                  <a:avLst/>
                                </a:prstGeom>
                              </pic:spPr>
                            </pic:pic>
                          </a:graphicData>
                        </a:graphic>
                      </wp:inline>
                    </w:drawing>
                  </w:r>
                </w:p>
              </w:tc>
              <w:tc>
                <w:tcPr>
                  <w:tcW w:w="952" w:type="dxa"/>
                  <w:tcBorders/>
                </w:tcPr>
                <w:p>
                  <w:pPr>
                    <w:pStyle w:val="Contenudetableau"/>
                    <w:bidi w:val="0"/>
                    <w:jc w:val="center"/>
                    <w:rPr>
                      <w:rFonts w:ascii="Arial" w:hAnsi="Arial"/>
                    </w:rPr>
                  </w:pPr>
                  <w:r>
                    <w:rPr>
                      <w:rFonts w:ascii="Arial" w:hAnsi="Arial"/>
                    </w:rPr>
                    <w:drawing>
                      <wp:inline distT="0" distB="0" distL="0" distR="0">
                        <wp:extent cx="394970" cy="394970"/>
                        <wp:effectExtent l="0" t="0" r="0" b="0"/>
                        <wp:docPr id="6" name="Image 15"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 descr="">
                                  <a:hlinkClick r:id="rId12"/>
                                </pic:cNvPr>
                                <pic:cNvPicPr>
                                  <a:picLocks noChangeAspect="1" noChangeArrowheads="1"/>
                                </pic:cNvPicPr>
                              </pic:nvPicPr>
                              <pic:blipFill>
                                <a:blip r:embed="rId11"/>
                                <a:stretch>
                                  <a:fillRect/>
                                </a:stretch>
                              </pic:blipFill>
                              <pic:spPr bwMode="auto">
                                <a:xfrm>
                                  <a:off x="0" y="0"/>
                                  <a:ext cx="394970" cy="394970"/>
                                </a:xfrm>
                                <a:prstGeom prst="rect">
                                  <a:avLst/>
                                </a:prstGeom>
                              </pic:spPr>
                            </pic:pic>
                          </a:graphicData>
                        </a:graphic>
                      </wp:inline>
                    </w:drawing>
                  </w:r>
                </w:p>
              </w:tc>
              <w:tc>
                <w:tcPr>
                  <w:tcW w:w="952" w:type="dxa"/>
                  <w:tcBorders/>
                </w:tcPr>
                <w:p>
                  <w:pPr>
                    <w:pStyle w:val="Contenudetableau"/>
                    <w:bidi w:val="0"/>
                    <w:jc w:val="center"/>
                    <w:rPr>
                      <w:rFonts w:ascii="Arial" w:hAnsi="Arial"/>
                    </w:rPr>
                  </w:pPr>
                  <w:r>
                    <w:rPr>
                      <w:rFonts w:ascii="Arial" w:hAnsi="Arial"/>
                    </w:rPr>
                    <w:drawing>
                      <wp:inline distT="0" distB="0" distL="0" distR="0">
                        <wp:extent cx="402590" cy="402590"/>
                        <wp:effectExtent l="0" t="0" r="0" b="0"/>
                        <wp:docPr id="7" name="Image 16"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6" descr="">
                                  <a:hlinkClick r:id="rId14"/>
                                </pic:cNvPr>
                                <pic:cNvPicPr>
                                  <a:picLocks noChangeAspect="1" noChangeArrowheads="1"/>
                                </pic:cNvPicPr>
                              </pic:nvPicPr>
                              <pic:blipFill>
                                <a:blip r:embed="rId13"/>
                                <a:stretch>
                                  <a:fillRect/>
                                </a:stretch>
                              </pic:blipFill>
                              <pic:spPr bwMode="auto">
                                <a:xfrm>
                                  <a:off x="0" y="0"/>
                                  <a:ext cx="402590" cy="402590"/>
                                </a:xfrm>
                                <a:prstGeom prst="rect">
                                  <a:avLst/>
                                </a:prstGeom>
                              </pic:spPr>
                            </pic:pic>
                          </a:graphicData>
                        </a:graphic>
                      </wp:inline>
                    </w:drawing>
                  </w:r>
                </w:p>
              </w:tc>
              <w:tc>
                <w:tcPr>
                  <w:tcW w:w="953" w:type="dxa"/>
                  <w:tcBorders/>
                </w:tcPr>
                <w:p>
                  <w:pPr>
                    <w:pStyle w:val="Contenudetableau"/>
                    <w:bidi w:val="0"/>
                    <w:jc w:val="center"/>
                    <w:rPr>
                      <w:rFonts w:ascii="Arial" w:hAnsi="Arial"/>
                    </w:rPr>
                  </w:pPr>
                  <w:r>
                    <w:rPr>
                      <w:rFonts w:ascii="Arial" w:hAnsi="Arial"/>
                    </w:rPr>
                    <w:drawing>
                      <wp:inline distT="0" distB="0" distL="0" distR="0">
                        <wp:extent cx="431800" cy="431800"/>
                        <wp:effectExtent l="0" t="0" r="0" b="0"/>
                        <wp:docPr id="8" name="Image 17"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7" descr="">
                                  <a:hlinkClick r:id="rId16"/>
                                </pic:cNvPr>
                                <pic:cNvPicPr>
                                  <a:picLocks noChangeAspect="1" noChangeArrowheads="1"/>
                                </pic:cNvPicPr>
                              </pic:nvPicPr>
                              <pic:blipFill>
                                <a:blip r:embed="rId15"/>
                                <a:stretch>
                                  <a:fillRect/>
                                </a:stretch>
                              </pic:blipFill>
                              <pic:spPr bwMode="auto">
                                <a:xfrm>
                                  <a:off x="0" y="0"/>
                                  <a:ext cx="431800" cy="431800"/>
                                </a:xfrm>
                                <a:prstGeom prst="rect">
                                  <a:avLst/>
                                </a:prstGeom>
                              </pic:spPr>
                            </pic:pic>
                          </a:graphicData>
                        </a:graphic>
                      </wp:inline>
                    </w:drawing>
                  </w:r>
                </w:p>
              </w:tc>
            </w:tr>
          </w:tbl>
          <w:p>
            <w:pPr>
              <w:pStyle w:val="N1"/>
              <w:numPr>
                <w:ilvl w:val="0"/>
                <w:numId w:val="0"/>
              </w:numPr>
              <w:bidi w:val="0"/>
              <w:jc w:val="center"/>
              <w:rPr/>
            </w:pPr>
            <w:r>
              <w:rPr/>
            </w:r>
          </w:p>
        </w:tc>
      </w:tr>
      <w:tr>
        <w:trPr/>
        <w:tc>
          <w:tcPr>
            <w:tcW w:w="9638" w:type="dxa"/>
            <w:tcBorders/>
          </w:tcPr>
          <w:tbl>
            <w:tblPr>
              <w:tblW w:w="4100" w:type="pct"/>
              <w:jc w:val="left"/>
              <w:tblInd w:w="0" w:type="dxa"/>
              <w:tblLayout w:type="fixed"/>
              <w:tblCellMar>
                <w:top w:w="284" w:type="dxa"/>
                <w:left w:w="113" w:type="dxa"/>
                <w:bottom w:w="0" w:type="dxa"/>
                <w:right w:w="113" w:type="dxa"/>
              </w:tblCellMar>
            </w:tblPr>
            <w:tblGrid>
              <w:gridCol w:w="3902"/>
              <w:gridCol w:w="3907"/>
            </w:tblGrid>
            <w:tr>
              <w:trPr/>
              <w:tc>
                <w:tcPr>
                  <w:tcW w:w="3902" w:type="dxa"/>
                  <w:tcBorders/>
                </w:tcPr>
                <w:p>
                  <w:pPr>
                    <w:pStyle w:val="Contenudetableau"/>
                    <w:bidi w:val="0"/>
                    <w:jc w:val="right"/>
                    <w:rPr>
                      <w:rFonts w:ascii="Arial" w:hAnsi="Arial"/>
                    </w:rPr>
                  </w:pPr>
                  <w:r>
                    <w:rPr>
                      <w:rFonts w:ascii="Arial" w:hAnsi="Arial"/>
                    </w:rPr>
                    <w:drawing>
                      <wp:inline distT="0" distB="0" distL="0" distR="0">
                        <wp:extent cx="821055" cy="828040"/>
                        <wp:effectExtent l="0" t="0" r="0" b="0"/>
                        <wp:docPr id="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
                                <pic:cNvPicPr>
                                  <a:picLocks noChangeAspect="1" noChangeArrowheads="1"/>
                                </pic:cNvPicPr>
                              </pic:nvPicPr>
                              <pic:blipFill>
                                <a:blip r:embed="rId17"/>
                                <a:stretch>
                                  <a:fillRect/>
                                </a:stretch>
                              </pic:blipFill>
                              <pic:spPr bwMode="auto">
                                <a:xfrm>
                                  <a:off x="0" y="0"/>
                                  <a:ext cx="821055" cy="828040"/>
                                </a:xfrm>
                                <a:prstGeom prst="rect">
                                  <a:avLst/>
                                </a:prstGeom>
                              </pic:spPr>
                            </pic:pic>
                          </a:graphicData>
                        </a:graphic>
                      </wp:inline>
                    </w:drawing>
                  </w:r>
                </w:p>
              </w:tc>
              <w:tc>
                <w:tcPr>
                  <w:tcW w:w="3907" w:type="dxa"/>
                  <w:tcBorders/>
                </w:tcPr>
                <w:p>
                  <w:pPr>
                    <w:pStyle w:val="Contenudetableau"/>
                    <w:bidi w:val="0"/>
                    <w:jc w:val="left"/>
                    <w:rPr>
                      <w:rFonts w:ascii="Arial" w:hAnsi="Arial"/>
                    </w:rPr>
                  </w:pPr>
                  <w:r>
                    <w:rPr>
                      <w:rFonts w:ascii="Arial" w:hAnsi="Arial"/>
                    </w:rPr>
                    <w:drawing>
                      <wp:inline distT="0" distB="0" distL="0" distR="0">
                        <wp:extent cx="1969135" cy="828040"/>
                        <wp:effectExtent l="0" t="0" r="0" b="0"/>
                        <wp:docPr id="10"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8" descr=""/>
                                <pic:cNvPicPr>
                                  <a:picLocks noChangeAspect="1" noChangeArrowheads="1"/>
                                </pic:cNvPicPr>
                              </pic:nvPicPr>
                              <pic:blipFill>
                                <a:blip r:embed="rId18"/>
                                <a:srcRect l="0" t="0" r="0" b="17332"/>
                                <a:stretch>
                                  <a:fillRect/>
                                </a:stretch>
                              </pic:blipFill>
                              <pic:spPr bwMode="auto">
                                <a:xfrm>
                                  <a:off x="0" y="0"/>
                                  <a:ext cx="1969135" cy="828040"/>
                                </a:xfrm>
                                <a:prstGeom prst="rect">
                                  <a:avLst/>
                                </a:prstGeom>
                              </pic:spPr>
                            </pic:pic>
                          </a:graphicData>
                        </a:graphic>
                      </wp:inline>
                    </w:drawing>
                  </w:r>
                </w:p>
              </w:tc>
            </w:tr>
          </w:tbl>
          <w:p>
            <w:pPr>
              <w:pStyle w:val="Contenudetableau"/>
              <w:bidi w:val="0"/>
              <w:jc w:val="left"/>
              <w:rPr>
                <w:rFonts w:ascii="Arial" w:hAnsi="Arial"/>
              </w:rPr>
            </w:pPr>
            <w:r>
              <w:rPr>
                <w:rFonts w:ascii="Arial" w:hAnsi="Arial"/>
              </w:rPr>
            </w:r>
          </w:p>
        </w:tc>
      </w:tr>
      <w:tr>
        <w:trPr/>
        <w:tc>
          <w:tcPr>
            <w:tcW w:w="9638" w:type="dxa"/>
            <w:tcBorders/>
          </w:tcPr>
          <w:p>
            <w:pPr>
              <w:pStyle w:val="NormalWeb"/>
              <w:widowControl w:val="false"/>
              <w:bidi w:val="0"/>
              <w:spacing w:before="113" w:after="170"/>
              <w:jc w:val="center"/>
              <w:rPr>
                <w:rFonts w:ascii="Arial" w:hAnsi="Arial" w:cs="Arial"/>
                <w:color w:val="92B93C"/>
                <w:sz w:val="18"/>
                <w:szCs w:val="18"/>
              </w:rPr>
            </w:pPr>
            <w:r>
              <w:rPr>
                <w:rFonts w:cs="Arial" w:ascii="Arial" w:hAnsi="Arial"/>
                <w:color w:val="92B93C"/>
                <w:sz w:val="18"/>
                <w:szCs w:val="18"/>
              </w:rPr>
              <w:t>Ce mail est édité par le Handi-Pacte du FIPHFP Antilles-Guyane</w:t>
              <w:br/>
              <w:t xml:space="preserve">Contact : Stéphane Gainaux - </w:t>
            </w:r>
            <w:hyperlink r:id="rId19">
              <w:r>
                <w:rPr>
                  <w:rStyle w:val="LienInternet"/>
                  <w:rFonts w:cs="Arial" w:ascii="Arial" w:hAnsi="Arial"/>
                  <w:color w:val="92B93C"/>
                  <w:sz w:val="18"/>
                  <w:szCs w:val="18"/>
                </w:rPr>
                <w:t>contact@ehconseil.fr</w:t>
              </w:r>
            </w:hyperlink>
            <w:r>
              <w:rPr>
                <w:rFonts w:cs="Arial" w:ascii="Arial" w:hAnsi="Arial"/>
                <w:color w:val="92B93C"/>
                <w:sz w:val="18"/>
                <w:szCs w:val="18"/>
              </w:rPr>
              <w:t xml:space="preserve"> - téléphone 03 81 84 17 63</w:t>
            </w:r>
          </w:p>
          <w:p>
            <w:pPr>
              <w:pStyle w:val="Normal"/>
              <w:widowControl w:val="false"/>
              <w:numPr>
                <w:ilvl w:val="0"/>
                <w:numId w:val="0"/>
              </w:numPr>
              <w:bidi w:val="0"/>
              <w:spacing w:lineRule="auto" w:line="240" w:before="0" w:after="0"/>
              <w:ind w:left="0" w:right="0" w:hanging="0"/>
              <w:jc w:val="center"/>
              <w:outlineLvl w:val="0"/>
              <w:rPr>
                <w:rFonts w:ascii="Arial" w:hAnsi="Arial" w:eastAsia="Times New Roman" w:cs="Arial"/>
                <w:b/>
                <w:bCs/>
                <w:color w:val="FFFFFF"/>
                <w:kern w:val="2"/>
                <w:sz w:val="33"/>
                <w:szCs w:val="33"/>
                <w:lang w:eastAsia="fr-FR"/>
              </w:rPr>
            </w:pPr>
            <w:hyperlink r:id="rId20" w:tgtFrame="_blank">
              <w:r>
                <w:rPr>
                  <w:rStyle w:val="LienInternet"/>
                  <w:rFonts w:cs="Arial" w:ascii="Arial" w:hAnsi="Arial"/>
                  <w:color w:val="C9442A"/>
                  <w:sz w:val="18"/>
                  <w:szCs w:val="18"/>
                </w:rPr>
                <w:t>S'abonner à la lettre d'information du FIPHFP</w:t>
              </w:r>
            </w:hyperlink>
          </w:p>
        </w:tc>
      </w:tr>
    </w:tbl>
    <w:p>
      <w:pPr>
        <w:pStyle w:val="NormalWeb"/>
        <w:bidi w:val="0"/>
        <w:spacing w:lineRule="auto" w:line="240" w:before="0" w:after="170"/>
        <w:jc w:val="left"/>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luto Light">
    <w:charset w:val="00"/>
    <w:family w:val="auto"/>
    <w:pitch w:val="default"/>
  </w:font>
  <w:font w:name="OpenSymbol">
    <w:altName w:val="Arial Unicode MS"/>
    <w:charset w:val="02"/>
    <w:family w:val="auto"/>
    <w:pitch w:val="default"/>
  </w:font>
  <w:font w:name="Arial">
    <w:charset w:val="00"/>
    <w:family w:val="auto"/>
    <w:pitch w:val="default"/>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947"/>
        </w:tabs>
        <w:ind w:left="947" w:hanging="360"/>
      </w:pPr>
      <w:rPr>
        <w:rFonts w:ascii="Symbol" w:hAnsi="Symbol" w:cs="Symbol" w:hint="default"/>
      </w:rPr>
    </w:lvl>
    <w:lvl w:ilvl="1">
      <w:start w:val="1"/>
      <w:numFmt w:val="bullet"/>
      <w:lvlText w:val="◦"/>
      <w:lvlJc w:val="left"/>
      <w:pPr>
        <w:tabs>
          <w:tab w:val="num" w:pos="1307"/>
        </w:tabs>
        <w:ind w:left="1307" w:hanging="360"/>
      </w:pPr>
      <w:rPr>
        <w:rFonts w:ascii="OpenSymbol" w:hAnsi="OpenSymbol" w:cs="OpenSymbol" w:hint="default"/>
      </w:rPr>
    </w:lvl>
    <w:lvl w:ilvl="2">
      <w:start w:val="1"/>
      <w:numFmt w:val="bullet"/>
      <w:lvlText w:val="▪"/>
      <w:lvlJc w:val="left"/>
      <w:pPr>
        <w:tabs>
          <w:tab w:val="num" w:pos="1667"/>
        </w:tabs>
        <w:ind w:left="1667" w:hanging="360"/>
      </w:pPr>
      <w:rPr>
        <w:rFonts w:ascii="OpenSymbol" w:hAnsi="OpenSymbol" w:cs="OpenSymbol" w:hint="default"/>
      </w:rPr>
    </w:lvl>
    <w:lvl w:ilvl="3">
      <w:start w:val="1"/>
      <w:numFmt w:val="bullet"/>
      <w:lvlText w:val=""/>
      <w:lvlJc w:val="left"/>
      <w:pPr>
        <w:tabs>
          <w:tab w:val="num" w:pos="2027"/>
        </w:tabs>
        <w:ind w:left="2027" w:hanging="360"/>
      </w:pPr>
      <w:rPr>
        <w:rFonts w:ascii="Symbol" w:hAnsi="Symbol" w:cs="Symbol" w:hint="default"/>
      </w:rPr>
    </w:lvl>
    <w:lvl w:ilvl="4">
      <w:start w:val="1"/>
      <w:numFmt w:val="bullet"/>
      <w:lvlText w:val="◦"/>
      <w:lvlJc w:val="left"/>
      <w:pPr>
        <w:tabs>
          <w:tab w:val="num" w:pos="2387"/>
        </w:tabs>
        <w:ind w:left="2387" w:hanging="360"/>
      </w:pPr>
      <w:rPr>
        <w:rFonts w:ascii="OpenSymbol" w:hAnsi="OpenSymbol" w:cs="OpenSymbol" w:hint="default"/>
      </w:rPr>
    </w:lvl>
    <w:lvl w:ilvl="5">
      <w:start w:val="1"/>
      <w:numFmt w:val="bullet"/>
      <w:lvlText w:val="▪"/>
      <w:lvlJc w:val="left"/>
      <w:pPr>
        <w:tabs>
          <w:tab w:val="num" w:pos="2747"/>
        </w:tabs>
        <w:ind w:left="2747" w:hanging="360"/>
      </w:pPr>
      <w:rPr>
        <w:rFonts w:ascii="OpenSymbol" w:hAnsi="OpenSymbol" w:cs="OpenSymbol" w:hint="default"/>
      </w:rPr>
    </w:lvl>
    <w:lvl w:ilvl="6">
      <w:start w:val="1"/>
      <w:numFmt w:val="bullet"/>
      <w:lvlText w:val=""/>
      <w:lvlJc w:val="left"/>
      <w:pPr>
        <w:tabs>
          <w:tab w:val="num" w:pos="3107"/>
        </w:tabs>
        <w:ind w:left="3107" w:hanging="360"/>
      </w:pPr>
      <w:rPr>
        <w:rFonts w:ascii="Symbol" w:hAnsi="Symbol" w:cs="Symbol" w:hint="default"/>
      </w:rPr>
    </w:lvl>
    <w:lvl w:ilvl="7">
      <w:start w:val="1"/>
      <w:numFmt w:val="bullet"/>
      <w:lvlText w:val="◦"/>
      <w:lvlJc w:val="left"/>
      <w:pPr>
        <w:tabs>
          <w:tab w:val="num" w:pos="3467"/>
        </w:tabs>
        <w:ind w:left="3467" w:hanging="360"/>
      </w:pPr>
      <w:rPr>
        <w:rFonts w:ascii="OpenSymbol" w:hAnsi="OpenSymbol" w:cs="OpenSymbol" w:hint="default"/>
      </w:rPr>
    </w:lvl>
    <w:lvl w:ilvl="8">
      <w:start w:val="1"/>
      <w:numFmt w:val="bullet"/>
      <w:lvlText w:val="▪"/>
      <w:lvlJc w:val="left"/>
      <w:pPr>
        <w:tabs>
          <w:tab w:val="num" w:pos="3827"/>
        </w:tabs>
        <w:ind w:left="3827" w:hanging="360"/>
      </w:pPr>
      <w:rPr>
        <w:rFonts w:ascii="OpenSymbol" w:hAnsi="OpenSymbol" w:cs="OpenSymbol" w:hint="default"/>
      </w:rPr>
    </w:lvl>
  </w:abstractNum>
  <w:abstractNum w:abstractNumId="3">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luto Light" w:hAnsi="Pluto Light" w:eastAsia="NSimSun" w:cs="Lucida Sans"/>
        <w:kern w:val="2"/>
        <w:sz w:val="24"/>
        <w:szCs w:val="24"/>
        <w:lang w:val="fr-FR"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Pluto Light" w:hAnsi="Pluto Light" w:eastAsia="NSimSun" w:cs="Lucida Sans"/>
      <w:color w:val="auto"/>
      <w:kern w:val="2"/>
      <w:sz w:val="24"/>
      <w:szCs w:val="24"/>
      <w:lang w:val="fr-FR" w:eastAsia="zh-CN" w:bidi="hi-IN"/>
    </w:rPr>
  </w:style>
  <w:style w:type="character" w:styleId="DefaultParagraphFont">
    <w:name w:val="Default Paragraph Font"/>
    <w:qFormat/>
    <w:rPr/>
  </w:style>
  <w:style w:type="character" w:styleId="LienInternet">
    <w:name w:val="Hyperlink"/>
    <w:basedOn w:val="DefaultParagraphFont"/>
    <w:rPr>
      <w:color w:val="0000FF"/>
      <w:u w:val="single"/>
    </w:rPr>
  </w:style>
  <w:style w:type="character" w:styleId="LienInternetvisit">
    <w:name w:val="FollowedHyperlink"/>
    <w:rPr>
      <w:color w:val="800000"/>
      <w:u w:val="single"/>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Pluto Light" w:hAnsi="Pluto Light"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ascii="Pluto Light" w:hAnsi="Pluto Light" w:cs="Lucida Sans"/>
    </w:rPr>
  </w:style>
  <w:style w:type="paragraph" w:styleId="Lgende">
    <w:name w:val="Caption"/>
    <w:basedOn w:val="Normal"/>
    <w:qFormat/>
    <w:pPr>
      <w:suppressLineNumbers/>
      <w:spacing w:before="120" w:after="120"/>
    </w:pPr>
    <w:rPr>
      <w:rFonts w:ascii="Pluto Light" w:hAnsi="Pluto Light" w:cs="Lucida Sans"/>
      <w:i/>
      <w:iCs/>
      <w:sz w:val="24"/>
      <w:szCs w:val="24"/>
    </w:rPr>
  </w:style>
  <w:style w:type="paragraph" w:styleId="Index">
    <w:name w:val="Index"/>
    <w:basedOn w:val="Normal"/>
    <w:qFormat/>
    <w:pPr>
      <w:suppressLineNumbers/>
    </w:pPr>
    <w:rPr>
      <w:rFonts w:ascii="Pluto Light" w:hAnsi="Pluto Light" w:cs="Lucida Sans"/>
    </w:rPr>
  </w:style>
  <w:style w:type="paragraph" w:styleId="Contenudetableau">
    <w:name w:val="Contenu de tableau"/>
    <w:basedOn w:val="Normal"/>
    <w:qFormat/>
    <w:pPr>
      <w:widowControl w:val="false"/>
      <w:suppressLineNumbers/>
    </w:pPr>
    <w:rPr/>
  </w:style>
  <w:style w:type="paragraph" w:styleId="NormalWeb">
    <w:name w:val="Normal (Web)"/>
    <w:basedOn w:val="Normal"/>
    <w:qFormat/>
    <w:pPr>
      <w:spacing w:lineRule="auto" w:line="240" w:before="0" w:after="170"/>
    </w:pPr>
    <w:rPr>
      <w:rFonts w:ascii="Arial" w:hAnsi="Arial" w:eastAsia="Times New Roman" w:cs="Times New Roman"/>
      <w:sz w:val="20"/>
      <w:szCs w:val="24"/>
      <w:lang w:eastAsia="fr-FR"/>
    </w:rPr>
  </w:style>
  <w:style w:type="paragraph" w:styleId="N1">
    <w:name w:val="N1"/>
    <w:qFormat/>
    <w:pPr>
      <w:widowControl/>
      <w:numPr>
        <w:ilvl w:val="0"/>
        <w:numId w:val="0"/>
      </w:numPr>
      <w:kinsoku w:val="true"/>
      <w:overflowPunct w:val="true"/>
      <w:autoSpaceDE w:val="true"/>
      <w:bidi w:val="0"/>
      <w:jc w:val="center"/>
      <w:outlineLvl w:val="0"/>
    </w:pPr>
    <w:rPr>
      <w:rFonts w:ascii="Arial" w:hAnsi="Arial" w:eastAsia="NSimSun" w:cs="Lucida Sans"/>
      <w:b/>
      <w:color w:val="auto"/>
      <w:kern w:val="2"/>
      <w:sz w:val="24"/>
      <w:szCs w:val="24"/>
      <w:lang w:val="fr-FR" w:eastAsia="zh-CN" w:bidi="hi-IN"/>
    </w:rPr>
  </w:style>
  <w:style w:type="paragraph" w:styleId="Titredetableau">
    <w:name w:val="Titre de tableau"/>
    <w:basedOn w:val="Contenudetableau"/>
    <w:qFormat/>
    <w:pPr>
      <w:suppressLineNumbers/>
      <w:jc w:val="center"/>
    </w:pPr>
    <w:rPr>
      <w:b/>
      <w:bCs/>
    </w:rPr>
  </w:style>
  <w:style w:type="paragraph" w:styleId="N2">
    <w:name w:val="N2"/>
    <w:qFormat/>
    <w:pPr>
      <w:widowControl/>
      <w:numPr>
        <w:ilvl w:val="0"/>
        <w:numId w:val="0"/>
      </w:numPr>
      <w:tabs>
        <w:tab w:val="clear" w:pos="709"/>
      </w:tabs>
      <w:kinsoku w:val="true"/>
      <w:overflowPunct w:val="true"/>
      <w:autoSpaceDE w:val="true"/>
      <w:bidi w:val="0"/>
      <w:spacing w:before="227" w:after="113"/>
      <w:jc w:val="center"/>
      <w:outlineLvl w:val="1"/>
    </w:pPr>
    <w:rPr>
      <w:rFonts w:ascii="Arial" w:hAnsi="Arial" w:eastAsia="NSimSun" w:cs="Lucida Sans"/>
      <w:b/>
      <w:i w:val="false"/>
      <w:color w:val="auto"/>
      <w:kern w:val="2"/>
      <w:sz w:val="22"/>
      <w:szCs w:val="24"/>
      <w:lang w:val="fr-FR"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youtube.com/watch?v=1YMdoxPp0PY" TargetMode="External"/><Relationship Id="rId5" Type="http://schemas.openxmlformats.org/officeDocument/2006/relationships/image" Target="media/image3.png"/><Relationship Id="rId6" Type="http://schemas.openxmlformats.org/officeDocument/2006/relationships/hyperlink" Target="https://www.youtube.com/watch?v=W1Wjo3P8w0c" TargetMode="External"/><Relationship Id="rId7" Type="http://schemas.openxmlformats.org/officeDocument/2006/relationships/image" Target="media/image4.png"/><Relationship Id="rId8" Type="http://schemas.openxmlformats.org/officeDocument/2006/relationships/hyperlink" Target="https://www.youtube.com/watch?v=ips7PJpdKnI" TargetMode="External"/><Relationship Id="rId9" Type="http://schemas.openxmlformats.org/officeDocument/2006/relationships/image" Target="media/image5.png"/><Relationship Id="rId10" Type="http://schemas.openxmlformats.org/officeDocument/2006/relationships/hyperlink" Target="http://www.fiphfp.fr/" TargetMode="External"/><Relationship Id="rId11" Type="http://schemas.openxmlformats.org/officeDocument/2006/relationships/image" Target="media/image6.png"/><Relationship Id="rId12" Type="http://schemas.openxmlformats.org/officeDocument/2006/relationships/hyperlink" Target="https://twitter.com/FIPHFP" TargetMode="External"/><Relationship Id="rId13" Type="http://schemas.openxmlformats.org/officeDocument/2006/relationships/image" Target="media/image7.png"/><Relationship Id="rId14" Type="http://schemas.openxmlformats.org/officeDocument/2006/relationships/hyperlink" Target="https://fr.linkedin.com/company/fiphfp" TargetMode="External"/><Relationship Id="rId15" Type="http://schemas.openxmlformats.org/officeDocument/2006/relationships/image" Target="media/image8.png"/><Relationship Id="rId16" Type="http://schemas.openxmlformats.org/officeDocument/2006/relationships/hyperlink" Target="https://www.youtube.com/channel/UCGepM40FTwgfGMwYVlvYuTg" TargetMode="External"/><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yperlink" Target="mailto:contact@ehconseil.fr" TargetMode="External"/><Relationship Id="rId20" Type="http://schemas.openxmlformats.org/officeDocument/2006/relationships/hyperlink" Target="http://www.fiphfp.fr/newsletter/subscribe" TargetMode="Externa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143</TotalTime>
  <Application>LibreOffice/7.5.7.1$Windows_X86_64 LibreOffice_project/47eb0cf7efbacdee9b19ae25d6752381ede23126</Application>
  <AppVersion>15.0000</AppVersion>
  <Pages>3</Pages>
  <Words>491</Words>
  <Characters>2696</Characters>
  <CharactersWithSpaces>3163</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2023-10-19T17:21:23Z</dcterms:created>
  <dc:creator/>
  <dc:description/>
  <dc:language>fr-FR</dc:language>
  <cp:lastModifiedBy/>
  <dcterms:modified xsi:type="dcterms:W3CDTF">2023-10-23T14:32:25Z</dcterms:modified>
  <cp:revision>12</cp:revision>
  <dc:subject/>
  <dc:title/>
</cp:coreProperties>
</file>