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5EDE" w:rsidRDefault="002D5EDE" w:rsidP="00677F8D">
      <w:pPr>
        <w:pStyle w:val="Default"/>
        <w:rPr>
          <w:noProof/>
          <w:lang w:eastAsia="fr-FR"/>
        </w:rPr>
      </w:pPr>
      <w:r w:rsidRPr="002D5EDE">
        <w:rPr>
          <w:noProof/>
          <w:lang w:eastAsia="fr-FR"/>
        </w:rPr>
        <w:drawing>
          <wp:anchor distT="0" distB="0" distL="114300" distR="114300" simplePos="0" relativeHeight="251658240" behindDoc="1" locked="0" layoutInCell="1" allowOverlap="1" wp14:anchorId="5C41EEA6" wp14:editId="686D4353">
            <wp:simplePos x="0" y="0"/>
            <wp:positionH relativeFrom="column">
              <wp:posOffset>4937125</wp:posOffset>
            </wp:positionH>
            <wp:positionV relativeFrom="paragraph">
              <wp:posOffset>167005</wp:posOffset>
            </wp:positionV>
            <wp:extent cx="815340" cy="847090"/>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5340" cy="847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5EDE" w:rsidRDefault="00C7300D" w:rsidP="002D5EDE">
      <w:pPr>
        <w:pStyle w:val="Default"/>
        <w:rPr>
          <w:noProof/>
          <w:lang w:eastAsia="fr-FR"/>
        </w:rPr>
      </w:pPr>
      <w:r>
        <w:rPr>
          <w:noProof/>
          <w:lang w:eastAsia="fr-FR"/>
        </w:rPr>
        <w:drawing>
          <wp:inline distT="0" distB="0" distL="0" distR="0">
            <wp:extent cx="2330450" cy="84508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RS HdF -PNG blan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0760" cy="845193"/>
                    </a:xfrm>
                    <a:prstGeom prst="rect">
                      <a:avLst/>
                    </a:prstGeom>
                  </pic:spPr>
                </pic:pic>
              </a:graphicData>
            </a:graphic>
          </wp:inline>
        </w:drawing>
      </w:r>
      <w:r w:rsidR="002D5EDE" w:rsidRPr="002D5EDE">
        <w:rPr>
          <w:noProof/>
          <w:lang w:eastAsia="fr-FR"/>
        </w:rPr>
        <w:t xml:space="preserve"> </w:t>
      </w:r>
    </w:p>
    <w:p w:rsidR="002D5EDE" w:rsidRDefault="002D5EDE" w:rsidP="00677F8D">
      <w:pPr>
        <w:pStyle w:val="Default"/>
        <w:rPr>
          <w:noProof/>
          <w:lang w:eastAsia="fr-FR"/>
        </w:rPr>
      </w:pPr>
    </w:p>
    <w:p w:rsidR="002D5EDE" w:rsidRDefault="002D5EDE" w:rsidP="00677F8D">
      <w:pPr>
        <w:pStyle w:val="Default"/>
        <w:rPr>
          <w:noProof/>
          <w:lang w:eastAsia="fr-FR"/>
        </w:rPr>
      </w:pPr>
    </w:p>
    <w:p w:rsidR="002D5EDE" w:rsidRDefault="002D5EDE" w:rsidP="00677F8D">
      <w:pPr>
        <w:pStyle w:val="Default"/>
        <w:rPr>
          <w:noProof/>
          <w:lang w:eastAsia="fr-FR"/>
        </w:rPr>
      </w:pPr>
    </w:p>
    <w:p w:rsidR="002D5EDE" w:rsidRDefault="002D5EDE" w:rsidP="00677F8D">
      <w:pPr>
        <w:pStyle w:val="Default"/>
        <w:rPr>
          <w:noProof/>
          <w:lang w:eastAsia="fr-FR"/>
        </w:rPr>
      </w:pPr>
    </w:p>
    <w:p w:rsidR="00677F8D" w:rsidRDefault="002D5EDE" w:rsidP="002D5EDE">
      <w:pPr>
        <w:pStyle w:val="Default"/>
        <w:jc w:val="center"/>
      </w:pPr>
      <w:r>
        <w:rPr>
          <w:noProof/>
          <w:lang w:eastAsia="fr-FR"/>
        </w:rPr>
        <w:t>COMMUNIQUE DE PRESSE</w:t>
      </w:r>
    </w:p>
    <w:p w:rsidR="002D5EDE" w:rsidRDefault="002D5EDE" w:rsidP="00677F8D">
      <w:pPr>
        <w:pStyle w:val="Default"/>
      </w:pPr>
    </w:p>
    <w:p w:rsidR="002D5EDE" w:rsidRDefault="002D5EDE" w:rsidP="002D5EDE">
      <w:pPr>
        <w:pStyle w:val="Default"/>
        <w:jc w:val="right"/>
      </w:pPr>
      <w:r>
        <w:t>Lille, </w:t>
      </w:r>
      <w:r w:rsidR="007E168C">
        <w:t>le 27 juin 2023</w:t>
      </w:r>
    </w:p>
    <w:p w:rsidR="002D5EDE" w:rsidRDefault="002D5EDE" w:rsidP="002D5EDE">
      <w:pPr>
        <w:pStyle w:val="Default"/>
        <w:rPr>
          <w:b/>
        </w:rPr>
      </w:pPr>
    </w:p>
    <w:p w:rsidR="002D5EDE" w:rsidRPr="002D5EDE" w:rsidRDefault="002D5EDE" w:rsidP="002D5EDE">
      <w:pPr>
        <w:pStyle w:val="Default"/>
        <w:rPr>
          <w:b/>
        </w:rPr>
      </w:pPr>
      <w:r>
        <w:rPr>
          <w:b/>
        </w:rPr>
        <w:t>EMPLOI DE PERSONNES EN SITUATION DE HANDICAP</w:t>
      </w:r>
    </w:p>
    <w:p w:rsidR="002D5EDE" w:rsidRPr="002D5EDE" w:rsidRDefault="002D5EDE" w:rsidP="002D5EDE">
      <w:pPr>
        <w:pStyle w:val="Default"/>
        <w:rPr>
          <w:b/>
        </w:rPr>
      </w:pPr>
      <w:r w:rsidRPr="002D5EDE">
        <w:rPr>
          <w:b/>
        </w:rPr>
        <w:t xml:space="preserve">Plus de moyens pour </w:t>
      </w:r>
      <w:r>
        <w:rPr>
          <w:b/>
        </w:rPr>
        <w:t>recruter des personnes en situation de handicap au sein de l’ARS</w:t>
      </w:r>
    </w:p>
    <w:p w:rsidR="002D5EDE" w:rsidRDefault="002D5EDE" w:rsidP="002D5EDE">
      <w:pPr>
        <w:pStyle w:val="Default"/>
      </w:pPr>
    </w:p>
    <w:p w:rsidR="00677F8D" w:rsidRDefault="00677F8D" w:rsidP="00677F8D">
      <w:pPr>
        <w:jc w:val="both"/>
        <w:rPr>
          <w:b/>
          <w:bCs/>
          <w:sz w:val="28"/>
          <w:szCs w:val="28"/>
        </w:rPr>
      </w:pPr>
      <w:r w:rsidRPr="00C7300D">
        <w:rPr>
          <w:b/>
          <w:bCs/>
          <w:color w:val="000000" w:themeColor="text1"/>
          <w:sz w:val="28"/>
          <w:szCs w:val="28"/>
        </w:rPr>
        <w:t xml:space="preserve">L’ARS Hauts-de-France et le Fonds pour l’insertion des personnes handicapées </w:t>
      </w:r>
      <w:r w:rsidR="007E168C" w:rsidRPr="00C7300D">
        <w:rPr>
          <w:b/>
          <w:bCs/>
          <w:color w:val="000000" w:themeColor="text1"/>
          <w:sz w:val="28"/>
          <w:szCs w:val="28"/>
        </w:rPr>
        <w:t xml:space="preserve">dans la Fonction publique </w:t>
      </w:r>
      <w:r w:rsidRPr="00C7300D">
        <w:rPr>
          <w:b/>
          <w:bCs/>
          <w:color w:val="000000" w:themeColor="text1"/>
          <w:sz w:val="28"/>
          <w:szCs w:val="28"/>
        </w:rPr>
        <w:t>(FIPHFP</w:t>
      </w:r>
      <w:r>
        <w:rPr>
          <w:b/>
          <w:bCs/>
          <w:sz w:val="28"/>
          <w:szCs w:val="28"/>
        </w:rPr>
        <w:t xml:space="preserve">) viennent de signer une convention </w:t>
      </w:r>
      <w:r w:rsidR="00CF3959">
        <w:rPr>
          <w:b/>
          <w:bCs/>
          <w:sz w:val="28"/>
          <w:szCs w:val="28"/>
        </w:rPr>
        <w:t xml:space="preserve">partenariale </w:t>
      </w:r>
      <w:r>
        <w:rPr>
          <w:b/>
          <w:bCs/>
          <w:sz w:val="28"/>
          <w:szCs w:val="28"/>
        </w:rPr>
        <w:t xml:space="preserve">pour favoriser l’emploi des personnes en situation de handicap au sein de l’agence. </w:t>
      </w:r>
    </w:p>
    <w:p w:rsidR="00BC5F89" w:rsidRDefault="00BC5F89" w:rsidP="00BC5F89">
      <w:pPr>
        <w:jc w:val="both"/>
      </w:pPr>
      <w:r>
        <w:t xml:space="preserve">L’ARS Hauts-de-France met en place depuis plusieurs années des actions en faveur de l’intégration et du maintien dans l’emploi des personnes en situation de handicap, structurées depuis octobre 2021 dans le cadre de sa politique </w:t>
      </w:r>
      <w:proofErr w:type="spellStart"/>
      <w:r>
        <w:t>Handi’go</w:t>
      </w:r>
      <w:proofErr w:type="spellEnd"/>
      <w:r>
        <w:t xml:space="preserve">. </w:t>
      </w:r>
      <w:r w:rsidR="00FA0146">
        <w:t xml:space="preserve">Au 31 </w:t>
      </w:r>
      <w:r w:rsidR="006661F7">
        <w:t xml:space="preserve">décembre 2022, elle employait 59 </w:t>
      </w:r>
      <w:r w:rsidR="00FA0146">
        <w:t xml:space="preserve">bénéficiaires de l’obligation d’emploi, soit 9% de son effectif. </w:t>
      </w:r>
    </w:p>
    <w:p w:rsidR="002D32BB" w:rsidRDefault="00BC5F89" w:rsidP="00677F8D">
      <w:pPr>
        <w:jc w:val="both"/>
      </w:pPr>
      <w:r>
        <w:t xml:space="preserve">En signant cette convention </w:t>
      </w:r>
      <w:r w:rsidR="00FA0146">
        <w:t>qui s’étend sur une</w:t>
      </w:r>
      <w:r>
        <w:t xml:space="preserve"> période de 3 ans</w:t>
      </w:r>
      <w:r w:rsidR="00FA0146">
        <w:t>, l’ARS</w:t>
      </w:r>
      <w:r>
        <w:t xml:space="preserve"> </w:t>
      </w:r>
      <w:r w:rsidR="002D32BB">
        <w:t>réaffirme son engagement en faveur de l’</w:t>
      </w:r>
      <w:r w:rsidR="00FA0146">
        <w:t xml:space="preserve">insertion, </w:t>
      </w:r>
      <w:r w:rsidR="002D32BB">
        <w:t>du maintien dans l’</w:t>
      </w:r>
      <w:r w:rsidR="00FA0146">
        <w:t xml:space="preserve">emploi et de la formation de personnes </w:t>
      </w:r>
      <w:r w:rsidR="002D32BB">
        <w:t xml:space="preserve">en situation de handicap. </w:t>
      </w:r>
      <w:r w:rsidR="0069688F">
        <w:t>Grâce à un b</w:t>
      </w:r>
      <w:r w:rsidR="0069688F" w:rsidRPr="00677F8D">
        <w:t xml:space="preserve">udget de </w:t>
      </w:r>
      <w:r w:rsidR="00442B15">
        <w:t>253 000</w:t>
      </w:r>
      <w:r w:rsidR="0069688F" w:rsidRPr="00677F8D">
        <w:t xml:space="preserve"> € (160 000 € FIPHFP et 93</w:t>
      </w:r>
      <w:r w:rsidR="00442B15">
        <w:t xml:space="preserve"> </w:t>
      </w:r>
      <w:r w:rsidR="0069688F" w:rsidRPr="00677F8D">
        <w:t>700 € ARS)</w:t>
      </w:r>
      <w:r w:rsidR="0069688F">
        <w:t>, les actions déjà mises en œuvre au sein de l’ARS seront</w:t>
      </w:r>
      <w:r w:rsidR="00442B15">
        <w:t xml:space="preserve"> renforcées</w:t>
      </w:r>
      <w:r w:rsidR="0069688F">
        <w:t xml:space="preserve">. </w:t>
      </w:r>
    </w:p>
    <w:p w:rsidR="00BC5F89" w:rsidRDefault="00BC5F89" w:rsidP="002D32BB">
      <w:pPr>
        <w:jc w:val="both"/>
      </w:pPr>
      <w:r>
        <w:t>L</w:t>
      </w:r>
      <w:r w:rsidR="002D32BB">
        <w:t xml:space="preserve">’ARS </w:t>
      </w:r>
      <w:r w:rsidR="00FA0146">
        <w:t xml:space="preserve">Hauts-de-France </w:t>
      </w:r>
      <w:r>
        <w:t xml:space="preserve">s’engage ainsi </w:t>
      </w:r>
      <w:r w:rsidR="0069688F">
        <w:t xml:space="preserve">à atteindre 3 objectifs </w:t>
      </w:r>
      <w:r>
        <w:t>:</w:t>
      </w:r>
    </w:p>
    <w:p w:rsidR="002D32BB" w:rsidRDefault="002D32BB" w:rsidP="002D32BB">
      <w:pPr>
        <w:jc w:val="both"/>
      </w:pPr>
      <w:r>
        <w:t xml:space="preserve">- </w:t>
      </w:r>
      <w:r w:rsidR="00BC5F89">
        <w:t>Recruter</w:t>
      </w:r>
      <w:r>
        <w:t xml:space="preserve"> </w:t>
      </w:r>
      <w:r w:rsidR="00BC5F89">
        <w:t>et maintenir dans l’emploi d</w:t>
      </w:r>
      <w:r>
        <w:t>e nouveaux age</w:t>
      </w:r>
      <w:r w:rsidR="00BC5F89">
        <w:t>nts en situation de handicap</w:t>
      </w:r>
      <w:r w:rsidR="00FA0146">
        <w:t>,</w:t>
      </w:r>
      <w:r w:rsidR="00BC5F89">
        <w:t xml:space="preserve"> </w:t>
      </w:r>
    </w:p>
    <w:p w:rsidR="002D32BB" w:rsidRDefault="002D32BB" w:rsidP="002D32BB">
      <w:pPr>
        <w:jc w:val="both"/>
      </w:pPr>
      <w:r>
        <w:t xml:space="preserve">- </w:t>
      </w:r>
      <w:r w:rsidR="00BC5F89">
        <w:t>Garantir une cohérence</w:t>
      </w:r>
      <w:r>
        <w:t xml:space="preserve"> entre les politiques portées par l’agence en externe en </w:t>
      </w:r>
      <w:r w:rsidR="00BC5F89">
        <w:t xml:space="preserve">faveur d’une société inclusive </w:t>
      </w:r>
      <w:r>
        <w:t xml:space="preserve">et la politique d’égalité professionnelle </w:t>
      </w:r>
      <w:r w:rsidR="00BC5F89">
        <w:t xml:space="preserve">et d’insertion </w:t>
      </w:r>
      <w:r>
        <w:t>mise en œuvre en interne,</w:t>
      </w:r>
    </w:p>
    <w:p w:rsidR="002D32BB" w:rsidRDefault="002D32BB" w:rsidP="00677F8D">
      <w:pPr>
        <w:jc w:val="both"/>
      </w:pPr>
      <w:r>
        <w:t xml:space="preserve">- </w:t>
      </w:r>
      <w:r w:rsidR="00BC5F89">
        <w:t>Développer la p</w:t>
      </w:r>
      <w:r>
        <w:t xml:space="preserve">articipation des représentants du personnel, des agents en situation </w:t>
      </w:r>
      <w:r w:rsidR="00BC5F89">
        <w:t xml:space="preserve">de handicap et de leur manager </w:t>
      </w:r>
      <w:r>
        <w:t>à la démarche continue d’améliora</w:t>
      </w:r>
      <w:r w:rsidR="00BC5F89">
        <w:t xml:space="preserve">tion de la politique handicap au sein de </w:t>
      </w:r>
      <w:r>
        <w:t>l'</w:t>
      </w:r>
      <w:r w:rsidR="00BC5F89">
        <w:t>ARS.</w:t>
      </w:r>
    </w:p>
    <w:p w:rsidR="00B26895" w:rsidRDefault="0069688F" w:rsidP="00B26895">
      <w:pPr>
        <w:jc w:val="both"/>
      </w:pPr>
      <w:r>
        <w:t xml:space="preserve">Par le biais de cette </w:t>
      </w:r>
      <w:r w:rsidR="00FA0146">
        <w:t>c</w:t>
      </w:r>
      <w:r>
        <w:t xml:space="preserve">onvention, l’ARS poursuivra ses actions selon les </w:t>
      </w:r>
      <w:r w:rsidR="00F87050">
        <w:t>axes</w:t>
      </w:r>
      <w:r>
        <w:t xml:space="preserve"> suivants</w:t>
      </w:r>
      <w:r w:rsidR="00F87050">
        <w:t>:</w:t>
      </w:r>
      <w:r w:rsidR="00DD172C">
        <w:t xml:space="preserve"> </w:t>
      </w:r>
    </w:p>
    <w:p w:rsidR="00F87050" w:rsidRDefault="00F87050" w:rsidP="00F87050">
      <w:pPr>
        <w:pStyle w:val="Paragraphedeliste"/>
        <w:numPr>
          <w:ilvl w:val="0"/>
          <w:numId w:val="4"/>
        </w:numPr>
        <w:jc w:val="both"/>
      </w:pPr>
      <w:r>
        <w:t xml:space="preserve">La communication, la sensibilisation et la formation </w:t>
      </w:r>
      <w:r w:rsidR="00FB0835">
        <w:t xml:space="preserve">de l’ensemble des agents sur la façon d’aborder le handicap </w:t>
      </w:r>
      <w:r>
        <w:t>et de combatt</w:t>
      </w:r>
      <w:r w:rsidR="00442B15">
        <w:t>r</w:t>
      </w:r>
      <w:r>
        <w:t>e les représentations négatives</w:t>
      </w:r>
      <w:r w:rsidR="00FB0835">
        <w:t xml:space="preserve"> ou les préjugés</w:t>
      </w:r>
      <w:r>
        <w:t>. Cet axe a également pour but d’inciter les agents à être mieux informé</w:t>
      </w:r>
      <w:r w:rsidR="00FA0146">
        <w:t>s</w:t>
      </w:r>
      <w:r w:rsidR="00FB0835">
        <w:t xml:space="preserve"> sur leurs droits et à faire connaître leur situation </w:t>
      </w:r>
      <w:r>
        <w:t>auprès de l’employeur.</w:t>
      </w:r>
    </w:p>
    <w:p w:rsidR="00F87050" w:rsidRDefault="00FB0835" w:rsidP="00FB0835">
      <w:pPr>
        <w:pStyle w:val="Paragraphedeliste"/>
        <w:numPr>
          <w:ilvl w:val="0"/>
          <w:numId w:val="4"/>
        </w:numPr>
        <w:jc w:val="both"/>
      </w:pPr>
      <w:r>
        <w:lastRenderedPageBreak/>
        <w:t xml:space="preserve">Le recrutement de personnes en situation de handicap : l’objectif est </w:t>
      </w:r>
      <w:r w:rsidR="00F87050">
        <w:t xml:space="preserve">de maintenir </w:t>
      </w:r>
      <w:r w:rsidR="002C4CEA">
        <w:t xml:space="preserve">voire d’augmenter </w:t>
      </w:r>
      <w:r w:rsidR="00F87050">
        <w:t>le taux d</w:t>
      </w:r>
      <w:r w:rsidR="00B42420">
        <w:t xml:space="preserve">’emploi à l’ARS, </w:t>
      </w:r>
      <w:r w:rsidR="002C4CEA">
        <w:t xml:space="preserve">supérieur </w:t>
      </w:r>
      <w:r w:rsidR="000405C9">
        <w:t>au taux légal</w:t>
      </w:r>
      <w:r w:rsidR="002C4CEA">
        <w:t xml:space="preserve"> </w:t>
      </w:r>
      <w:r>
        <w:t xml:space="preserve">et </w:t>
      </w:r>
      <w:r w:rsidR="00F87050">
        <w:t>de développer</w:t>
      </w:r>
      <w:r w:rsidR="0069688F">
        <w:t xml:space="preserve"> l’apprentissage par le biais de nouveaux partenariats</w:t>
      </w:r>
      <w:r w:rsidR="002D5EDE">
        <w:t xml:space="preserve"> </w:t>
      </w:r>
    </w:p>
    <w:p w:rsidR="001F2826" w:rsidRDefault="00FB0835" w:rsidP="00FB0835">
      <w:pPr>
        <w:pStyle w:val="Paragraphedeliste"/>
        <w:numPr>
          <w:ilvl w:val="0"/>
          <w:numId w:val="4"/>
        </w:numPr>
        <w:jc w:val="both"/>
      </w:pPr>
      <w:r>
        <w:t>L</w:t>
      </w:r>
      <w:r w:rsidR="001F2826">
        <w:t>a</w:t>
      </w:r>
      <w:r w:rsidR="00F87050">
        <w:t xml:space="preserve"> titularisation et l’intégration</w:t>
      </w:r>
      <w:r w:rsidR="00697937">
        <w:t xml:space="preserve"> : </w:t>
      </w:r>
      <w:r w:rsidR="0055634C">
        <w:t>l’</w:t>
      </w:r>
      <w:r w:rsidR="001F2826">
        <w:t xml:space="preserve">objectif </w:t>
      </w:r>
      <w:r w:rsidR="0055634C">
        <w:t xml:space="preserve">est </w:t>
      </w:r>
      <w:r w:rsidR="001F2826">
        <w:t>de</w:t>
      </w:r>
      <w:r w:rsidR="00697937">
        <w:t xml:space="preserve"> </w:t>
      </w:r>
      <w:r w:rsidR="0055634C">
        <w:t>garantir</w:t>
      </w:r>
      <w:r w:rsidR="00697937">
        <w:t xml:space="preserve"> l’équité de traitement avec le concours du référent diversité</w:t>
      </w:r>
      <w:r w:rsidR="001F2826">
        <w:t xml:space="preserve"> </w:t>
      </w:r>
      <w:r>
        <w:t>et</w:t>
      </w:r>
      <w:r w:rsidR="001F2826">
        <w:t xml:space="preserve"> de favoriser l’intégration par la mise en place d’un parcours d’intégration</w:t>
      </w:r>
      <w:r>
        <w:t xml:space="preserve"> adapté</w:t>
      </w:r>
    </w:p>
    <w:p w:rsidR="001F2826" w:rsidRPr="0055634C" w:rsidRDefault="00FB0835" w:rsidP="001F2826">
      <w:pPr>
        <w:pStyle w:val="Paragraphedeliste"/>
        <w:numPr>
          <w:ilvl w:val="0"/>
          <w:numId w:val="4"/>
        </w:numPr>
        <w:jc w:val="both"/>
      </w:pPr>
      <w:r w:rsidRPr="0055634C">
        <w:t>L</w:t>
      </w:r>
      <w:r w:rsidR="001F2826" w:rsidRPr="0055634C">
        <w:t>’évolution professionnelle</w:t>
      </w:r>
      <w:r w:rsidR="0055634C" w:rsidRPr="0055634C">
        <w:t xml:space="preserve"> : le </w:t>
      </w:r>
      <w:r w:rsidR="001F2826" w:rsidRPr="0055634C">
        <w:t xml:space="preserve">référent diversité </w:t>
      </w:r>
      <w:r w:rsidR="0055634C" w:rsidRPr="0055634C">
        <w:t xml:space="preserve">vérifie s’il n’y a pas eu de discrimination en lien notamment avec le handicap </w:t>
      </w:r>
    </w:p>
    <w:p w:rsidR="001F2826" w:rsidRDefault="0069688F" w:rsidP="002256B4">
      <w:pPr>
        <w:pStyle w:val="Paragraphedeliste"/>
        <w:numPr>
          <w:ilvl w:val="0"/>
          <w:numId w:val="4"/>
        </w:numPr>
        <w:jc w:val="both"/>
      </w:pPr>
      <w:r>
        <w:t xml:space="preserve">Le </w:t>
      </w:r>
      <w:r w:rsidR="001F2826">
        <w:t>maintien dans l’emploi a pour objectif l’amélioration des dispositifs d’accompagnement lors de la prise de poste et la réduction des délais pour les aménagements préconisés.</w:t>
      </w:r>
    </w:p>
    <w:p w:rsidR="007E168C" w:rsidRPr="00C7300D" w:rsidRDefault="007E168C" w:rsidP="007E168C">
      <w:pPr>
        <w:pStyle w:val="Sansinterligne"/>
        <w:jc w:val="both"/>
        <w:rPr>
          <w:rFonts w:cs="Calibri"/>
          <w:b/>
          <w:bCs/>
          <w:i/>
          <w:color w:val="000000" w:themeColor="text1"/>
          <w:u w:val="single"/>
          <w:lang w:eastAsia="fr-FR"/>
        </w:rPr>
      </w:pPr>
      <w:r w:rsidRPr="00C7300D">
        <w:rPr>
          <w:rFonts w:cs="Calibri"/>
          <w:b/>
          <w:bCs/>
          <w:i/>
          <w:color w:val="000000" w:themeColor="text1"/>
          <w:u w:val="single"/>
          <w:lang w:eastAsia="fr-FR"/>
        </w:rPr>
        <w:t>A propos du FIPHFP</w:t>
      </w:r>
    </w:p>
    <w:p w:rsidR="007E168C" w:rsidRPr="00C7300D" w:rsidRDefault="007E168C" w:rsidP="007E168C">
      <w:pPr>
        <w:pStyle w:val="Sansinterligne"/>
        <w:jc w:val="both"/>
        <w:rPr>
          <w:rFonts w:cs="Calibri"/>
          <w:color w:val="000000" w:themeColor="text1"/>
          <w:lang w:eastAsia="fr-FR"/>
        </w:rPr>
      </w:pPr>
      <w:r w:rsidRPr="00C7300D">
        <w:rPr>
          <w:rFonts w:cs="Calibri"/>
          <w:color w:val="000000" w:themeColor="text1"/>
          <w:lang w:eastAsia="fr-FR"/>
        </w:rPr>
        <w:t>Créé par la loi du 11 février 2005 et mis en place fin 2006, le FIPHFP, Fonds pour l’insertion des personnes handicapées dans la Fonction publique, finance les actions de recrutement, de maintien dans l’emploi, de formation et d’accessibilité des personnes en situation de handicap dans les trois versants de la Fonction publique (ministères, villes, conseils départementaux et régionaux, hôpitaux...). Il intervient sur l’ensemble du territoire et pour tous les employeurs publics en proposant des aides ponctuelles sur sa plateforme en ligne, ou par l’intermédiaire de conventions pluriannuelles avec les employeurs et dans le cadre du programme accessibilité. Depuis sa création, le taux d’emploi de la Fonction publique est passé de 3,74 % en 2006 à 5,45 % en 2022.</w:t>
      </w:r>
    </w:p>
    <w:p w:rsidR="007E168C" w:rsidRPr="00C7300D" w:rsidRDefault="007E168C" w:rsidP="007E168C">
      <w:pPr>
        <w:pStyle w:val="Sansinterligne"/>
        <w:jc w:val="both"/>
        <w:rPr>
          <w:rFonts w:cs="Calibri"/>
          <w:color w:val="000000" w:themeColor="text1"/>
          <w:lang w:eastAsia="fr-FR"/>
        </w:rPr>
      </w:pPr>
      <w:r w:rsidRPr="00C7300D">
        <w:rPr>
          <w:rFonts w:cs="Calibri"/>
          <w:color w:val="000000" w:themeColor="text1"/>
          <w:lang w:eastAsia="fr-FR"/>
        </w:rPr>
        <w:t xml:space="preserve">Le FIPHFP est un établissement public national placé sous la tutelle des ministres chargés des personnes handicapées, de la fonction publique de l’État, de la fonction publique territoriale, de la fonction publique hospitalière et du budget » (décret n° 2006-501 du 3 mai 2006). </w:t>
      </w:r>
    </w:p>
    <w:p w:rsidR="007E168C" w:rsidRPr="00C7300D" w:rsidRDefault="007E168C" w:rsidP="007E168C">
      <w:pPr>
        <w:pStyle w:val="Sansinterligne"/>
        <w:jc w:val="both"/>
        <w:rPr>
          <w:rFonts w:cs="Calibri"/>
          <w:color w:val="000000" w:themeColor="text1"/>
          <w:lang w:eastAsia="fr-FR"/>
        </w:rPr>
      </w:pPr>
      <w:r w:rsidRPr="00C7300D">
        <w:rPr>
          <w:rFonts w:cs="Calibri"/>
          <w:color w:val="000000" w:themeColor="text1"/>
          <w:lang w:eastAsia="fr-FR"/>
        </w:rPr>
        <w:t>Sa gestion administrative est assurée par la Caisse des Dépôts.</w:t>
      </w:r>
    </w:p>
    <w:p w:rsidR="007E168C" w:rsidRPr="00C7300D" w:rsidRDefault="007E168C" w:rsidP="007E168C">
      <w:pPr>
        <w:pStyle w:val="Sansinterligne"/>
        <w:jc w:val="both"/>
        <w:rPr>
          <w:rFonts w:cs="Calibri"/>
          <w:color w:val="000000" w:themeColor="text1"/>
          <w:lang w:eastAsia="fr-FR"/>
        </w:rPr>
      </w:pPr>
      <w:r w:rsidRPr="00C7300D">
        <w:rPr>
          <w:rFonts w:cs="Calibri"/>
          <w:color w:val="000000" w:themeColor="text1"/>
          <w:lang w:eastAsia="fr-FR"/>
        </w:rPr>
        <w:t>fiphfp.fr / @fiphfp</w:t>
      </w:r>
    </w:p>
    <w:p w:rsidR="007E168C" w:rsidRPr="00C7300D" w:rsidRDefault="007E168C" w:rsidP="007E168C">
      <w:pPr>
        <w:spacing w:after="0" w:line="240" w:lineRule="auto"/>
        <w:jc w:val="both"/>
        <w:rPr>
          <w:rFonts w:eastAsia="Times New Roman" w:cs="Calibri"/>
          <w:b/>
          <w:bCs/>
          <w:color w:val="000000" w:themeColor="text1"/>
          <w:lang w:eastAsia="fr-FR"/>
        </w:rPr>
      </w:pPr>
    </w:p>
    <w:p w:rsidR="00C7300D" w:rsidRPr="00C7300D" w:rsidRDefault="00C7300D" w:rsidP="007E168C">
      <w:pPr>
        <w:spacing w:after="0" w:line="240" w:lineRule="auto"/>
        <w:jc w:val="both"/>
        <w:rPr>
          <w:rFonts w:eastAsia="Times New Roman" w:cs="Calibri"/>
          <w:b/>
          <w:bCs/>
          <w:i/>
          <w:color w:val="000000" w:themeColor="text1"/>
          <w:u w:val="single"/>
          <w:lang w:eastAsia="fr-FR"/>
        </w:rPr>
      </w:pPr>
      <w:r w:rsidRPr="00C7300D">
        <w:rPr>
          <w:rFonts w:eastAsia="Times New Roman" w:cs="Calibri"/>
          <w:b/>
          <w:bCs/>
          <w:i/>
          <w:color w:val="000000" w:themeColor="text1"/>
          <w:u w:val="single"/>
          <w:lang w:eastAsia="fr-FR"/>
        </w:rPr>
        <w:t>A propos de l’Agence régionale de santé HDF</w:t>
      </w:r>
    </w:p>
    <w:p w:rsidR="00C7300D" w:rsidRPr="00C7300D" w:rsidRDefault="00C7300D" w:rsidP="00C7300D">
      <w:pPr>
        <w:spacing w:after="0" w:line="240" w:lineRule="auto"/>
        <w:jc w:val="both"/>
        <w:rPr>
          <w:rFonts w:eastAsia="Times New Roman" w:cs="Calibri"/>
          <w:bCs/>
          <w:color w:val="000000" w:themeColor="text1"/>
          <w:lang w:eastAsia="fr-FR"/>
        </w:rPr>
      </w:pPr>
      <w:r w:rsidRPr="00C7300D">
        <w:rPr>
          <w:rFonts w:eastAsia="Times New Roman" w:cs="Calibri"/>
          <w:bCs/>
          <w:color w:val="000000" w:themeColor="text1"/>
          <w:lang w:eastAsia="fr-FR"/>
        </w:rPr>
        <w:t>L’Agence régionale de santé (ARS) Hauts-de-France porte en région, en déclinaison du ministère de la Santé et de la Prévention, une politique à 360 degrés pour protéger et améliorer l’état de santé de la population, mais aussi pour réduire les inégalités sociales et territoriales de santé.</w:t>
      </w:r>
    </w:p>
    <w:p w:rsidR="00C7300D" w:rsidRPr="00C7300D" w:rsidRDefault="00C7300D" w:rsidP="00C7300D">
      <w:pPr>
        <w:spacing w:after="0" w:line="240" w:lineRule="auto"/>
        <w:jc w:val="both"/>
        <w:rPr>
          <w:rFonts w:eastAsia="Times New Roman" w:cs="Calibri"/>
          <w:b/>
          <w:bCs/>
          <w:color w:val="000000" w:themeColor="text1"/>
          <w:lang w:eastAsia="fr-FR"/>
        </w:rPr>
      </w:pPr>
    </w:p>
    <w:p w:rsidR="00C7300D" w:rsidRPr="00C7300D" w:rsidRDefault="00C7300D" w:rsidP="00C7300D">
      <w:pPr>
        <w:spacing w:after="0" w:line="240" w:lineRule="auto"/>
        <w:jc w:val="both"/>
        <w:rPr>
          <w:rFonts w:eastAsia="Times New Roman" w:cs="Calibri"/>
          <w:bCs/>
          <w:color w:val="000000" w:themeColor="text1"/>
          <w:lang w:eastAsia="fr-FR"/>
        </w:rPr>
      </w:pPr>
      <w:r w:rsidRPr="00C7300D">
        <w:rPr>
          <w:rFonts w:eastAsia="Times New Roman" w:cs="Calibri"/>
          <w:b/>
          <w:bCs/>
          <w:color w:val="000000" w:themeColor="text1"/>
          <w:lang w:eastAsia="fr-FR"/>
        </w:rPr>
        <w:t>Transversale.</w:t>
      </w:r>
      <w:r w:rsidRPr="00C7300D">
        <w:rPr>
          <w:rFonts w:eastAsia="Times New Roman" w:cs="Calibri"/>
          <w:bCs/>
          <w:color w:val="000000" w:themeColor="text1"/>
          <w:lang w:eastAsia="fr-FR"/>
        </w:rPr>
        <w:t xml:space="preserve"> Chargée de piloter et de mettre en œuvre la politique de santé en région, l’ARS intervient sur une série de champs d’action : sécurité sanitaire, santé environnementale, prévention, accès et régulation de l’offre dans les secteurs ambulatoire, hospitalier et médico-social, déploiement de la e-santé…L’ARS promeut, notamment au travers du Projet régional de santé (PRS), une logique de parcours de santé globale et structurée dont la clé de voûte est la coordination des acteurs de santé. </w:t>
      </w:r>
    </w:p>
    <w:p w:rsidR="00C7300D" w:rsidRPr="00C7300D" w:rsidRDefault="00C7300D" w:rsidP="00C7300D">
      <w:pPr>
        <w:spacing w:after="0" w:line="240" w:lineRule="auto"/>
        <w:jc w:val="both"/>
        <w:rPr>
          <w:rFonts w:eastAsia="Times New Roman" w:cs="Calibri"/>
          <w:bCs/>
          <w:color w:val="000000" w:themeColor="text1"/>
          <w:lang w:eastAsia="fr-FR"/>
        </w:rPr>
      </w:pPr>
      <w:r w:rsidRPr="00C7300D">
        <w:rPr>
          <w:rFonts w:eastAsia="Times New Roman" w:cs="Calibri"/>
          <w:b/>
          <w:bCs/>
          <w:color w:val="000000" w:themeColor="text1"/>
          <w:lang w:eastAsia="fr-FR"/>
        </w:rPr>
        <w:t>Territoriale.</w:t>
      </w:r>
      <w:r w:rsidRPr="00C7300D">
        <w:rPr>
          <w:rFonts w:eastAsia="Times New Roman" w:cs="Calibri"/>
          <w:bCs/>
          <w:color w:val="000000" w:themeColor="text1"/>
          <w:lang w:eastAsia="fr-FR"/>
        </w:rPr>
        <w:t xml:space="preserve"> Présente dans les cinq départements de la région, l’ARS porte la conviction que la politique régionale de santé doit tenir compte des spécificités territoriales, des besoins locaux de santé et développer des stratégies sur-mesure en lien avec les collectivités locales et les acteurs de santé dans les territoires.</w:t>
      </w:r>
    </w:p>
    <w:p w:rsidR="00C7300D" w:rsidRPr="00C7300D" w:rsidRDefault="00C7300D" w:rsidP="00C7300D">
      <w:pPr>
        <w:spacing w:after="0" w:line="240" w:lineRule="auto"/>
        <w:jc w:val="both"/>
        <w:rPr>
          <w:rFonts w:eastAsia="Times New Roman" w:cs="Calibri"/>
          <w:bCs/>
          <w:color w:val="000000" w:themeColor="text1"/>
          <w:lang w:eastAsia="fr-FR"/>
        </w:rPr>
      </w:pPr>
      <w:r w:rsidRPr="00C7300D">
        <w:rPr>
          <w:rFonts w:eastAsia="Times New Roman" w:cs="Calibri"/>
          <w:b/>
          <w:bCs/>
          <w:color w:val="000000" w:themeColor="text1"/>
          <w:lang w:eastAsia="fr-FR"/>
        </w:rPr>
        <w:t>Partenariale.</w:t>
      </w:r>
      <w:r w:rsidRPr="00C7300D">
        <w:rPr>
          <w:rFonts w:eastAsia="Times New Roman" w:cs="Calibri"/>
          <w:bCs/>
          <w:color w:val="000000" w:themeColor="text1"/>
          <w:lang w:eastAsia="fr-FR"/>
        </w:rPr>
        <w:t xml:space="preserve"> L’ARS inscrit son action au cœur d’un écosystème national, régional et local de santé : opérateurs publics ou associatifs, services de l’Etat et organismes de l’Assurance maladie, démocratie sanitaire, élus, Ordres et fédérations, professionnels et établissements de santé ou médico-sociaux, usagers… Chacun des projets et des politiques de l’Agence revêt ainsi une dimension partenariale.</w:t>
      </w:r>
    </w:p>
    <w:p w:rsidR="00C7300D" w:rsidRDefault="00C7300D" w:rsidP="007E168C">
      <w:pPr>
        <w:spacing w:after="0" w:line="240" w:lineRule="auto"/>
        <w:jc w:val="both"/>
        <w:rPr>
          <w:rFonts w:eastAsia="Times New Roman" w:cs="Calibri"/>
          <w:bCs/>
          <w:color w:val="000000" w:themeColor="text1"/>
          <w:lang w:eastAsia="fr-FR"/>
        </w:rPr>
      </w:pPr>
    </w:p>
    <w:p w:rsidR="00C7300D" w:rsidRPr="00C7300D" w:rsidRDefault="00C7300D" w:rsidP="007E168C">
      <w:pPr>
        <w:spacing w:after="0" w:line="240" w:lineRule="auto"/>
        <w:jc w:val="both"/>
        <w:rPr>
          <w:rFonts w:eastAsia="Times New Roman" w:cs="Calibri"/>
          <w:bCs/>
          <w:color w:val="000000" w:themeColor="text1"/>
          <w:lang w:eastAsia="fr-FR"/>
        </w:rPr>
      </w:pPr>
    </w:p>
    <w:p w:rsidR="007E168C" w:rsidRPr="00C7300D" w:rsidRDefault="007E168C" w:rsidP="007E168C">
      <w:pPr>
        <w:spacing w:after="0" w:line="240" w:lineRule="auto"/>
        <w:rPr>
          <w:b/>
          <w:bCs/>
          <w:color w:val="000000" w:themeColor="text1"/>
        </w:rPr>
      </w:pPr>
      <w:r w:rsidRPr="00C7300D">
        <w:rPr>
          <w:b/>
          <w:bCs/>
          <w:color w:val="000000" w:themeColor="text1"/>
        </w:rPr>
        <w:t>Contacts presse</w:t>
      </w:r>
    </w:p>
    <w:p w:rsidR="007E168C" w:rsidRPr="00C7300D" w:rsidRDefault="007E168C" w:rsidP="00C7300D">
      <w:pPr>
        <w:spacing w:after="0" w:line="240" w:lineRule="auto"/>
        <w:rPr>
          <w:color w:val="000000" w:themeColor="text1"/>
          <w:sz w:val="20"/>
          <w:szCs w:val="20"/>
        </w:rPr>
      </w:pPr>
      <w:r w:rsidRPr="00C7300D">
        <w:rPr>
          <w:color w:val="000000" w:themeColor="text1"/>
          <w:sz w:val="20"/>
          <w:szCs w:val="20"/>
        </w:rPr>
        <w:t xml:space="preserve">FIPHFP - </w:t>
      </w:r>
      <w:hyperlink r:id="rId9" w:history="1">
        <w:r w:rsidRPr="00C7300D">
          <w:rPr>
            <w:rStyle w:val="Lienhypertexte"/>
            <w:color w:val="000000" w:themeColor="text1"/>
            <w:sz w:val="20"/>
            <w:szCs w:val="20"/>
          </w:rPr>
          <w:t>fauverny@image7.fr</w:t>
        </w:r>
      </w:hyperlink>
      <w:r w:rsidRPr="00C7300D">
        <w:rPr>
          <w:color w:val="000000" w:themeColor="text1"/>
          <w:sz w:val="20"/>
          <w:szCs w:val="20"/>
        </w:rPr>
        <w:t xml:space="preserve"> // Fanny Auverny</w:t>
      </w:r>
      <w:r w:rsidRPr="00C7300D">
        <w:rPr>
          <w:color w:val="000000" w:themeColor="text1"/>
          <w:sz w:val="20"/>
          <w:szCs w:val="20"/>
          <w:lang w:eastAsia="fr-FR"/>
        </w:rPr>
        <w:t xml:space="preserve"> 06 07 18 59 42 </w:t>
      </w:r>
    </w:p>
    <w:p w:rsidR="00C7300D" w:rsidRPr="00C7300D" w:rsidRDefault="00C7300D" w:rsidP="00C7300D">
      <w:pPr>
        <w:spacing w:after="0" w:line="240" w:lineRule="auto"/>
        <w:rPr>
          <w:color w:val="000000" w:themeColor="text1"/>
          <w:sz w:val="20"/>
          <w:szCs w:val="20"/>
        </w:rPr>
      </w:pPr>
      <w:r w:rsidRPr="00C7300D">
        <w:rPr>
          <w:color w:val="000000" w:themeColor="text1"/>
          <w:sz w:val="20"/>
          <w:szCs w:val="20"/>
        </w:rPr>
        <w:t xml:space="preserve">ARS – </w:t>
      </w:r>
      <w:hyperlink r:id="rId10" w:history="1">
        <w:r w:rsidRPr="00C7300D">
          <w:rPr>
            <w:rStyle w:val="Lienhypertexte"/>
            <w:color w:val="000000" w:themeColor="text1"/>
            <w:sz w:val="20"/>
            <w:szCs w:val="20"/>
          </w:rPr>
          <w:t>thomas.lhuillery@ars.sante.fr</w:t>
        </w:r>
      </w:hyperlink>
      <w:r w:rsidRPr="00C7300D">
        <w:rPr>
          <w:color w:val="000000" w:themeColor="text1"/>
          <w:sz w:val="20"/>
          <w:szCs w:val="20"/>
        </w:rPr>
        <w:t xml:space="preserve"> </w:t>
      </w:r>
    </w:p>
    <w:p w:rsidR="007E168C" w:rsidRDefault="007E168C" w:rsidP="00CF3959">
      <w:pPr>
        <w:jc w:val="both"/>
      </w:pPr>
    </w:p>
    <w:sectPr w:rsidR="007E168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2936" w:rsidRDefault="00692936" w:rsidP="007E168C">
      <w:pPr>
        <w:spacing w:after="0" w:line="240" w:lineRule="auto"/>
      </w:pPr>
      <w:r>
        <w:separator/>
      </w:r>
    </w:p>
  </w:endnote>
  <w:endnote w:type="continuationSeparator" w:id="0">
    <w:p w:rsidR="00692936" w:rsidRDefault="00692936" w:rsidP="007E1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168C" w:rsidRDefault="007E168C">
    <w:pPr>
      <w:pStyle w:val="Pieddepage"/>
    </w:pPr>
    <w:r>
      <w:rPr>
        <w:noProof/>
        <w:lang w:eastAsia="fr-FR"/>
      </w:rPr>
      <mc:AlternateContent>
        <mc:Choice Requires="wps">
          <w:drawing>
            <wp:anchor distT="0" distB="0" distL="114300" distR="114300" simplePos="0" relativeHeight="251659264" behindDoc="0" locked="0" layoutInCell="0" allowOverlap="1" wp14:anchorId="5ABF2086" wp14:editId="1C7B1A61">
              <wp:simplePos x="0" y="0"/>
              <wp:positionH relativeFrom="page">
                <wp:posOffset>0</wp:posOffset>
              </wp:positionH>
              <wp:positionV relativeFrom="page">
                <wp:posOffset>10227945</wp:posOffset>
              </wp:positionV>
              <wp:extent cx="7560310" cy="273050"/>
              <wp:effectExtent l="0" t="0" r="0" b="12700"/>
              <wp:wrapNone/>
              <wp:docPr id="1" name="MSIPCMd4824a6993171363c463a0dc" descr="{&quot;HashCode&quot;:-135590771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E168C" w:rsidRPr="007E168C" w:rsidRDefault="007E168C" w:rsidP="007E168C">
                          <w:pPr>
                            <w:spacing w:after="0"/>
                            <w:rPr>
                              <w:rFonts w:ascii="Calibri" w:hAnsi="Calibri" w:cs="Calibri"/>
                              <w:color w:val="FF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ABF2086" id="_x0000_t202" coordsize="21600,21600" o:spt="202" path="m,l,21600r21600,l21600,xe">
              <v:stroke joinstyle="miter"/>
              <v:path gradientshapeok="t" o:connecttype="rect"/>
            </v:shapetype>
            <v:shape id="MSIPCMd4824a6993171363c463a0dc" o:spid="_x0000_s1026" type="#_x0000_t202" alt="{&quot;HashCode&quot;:-1355907719,&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" o:allowincell="f" filled="f" stroked="f" strokeweight=".5pt">
              <v:textbox inset="20pt,0,,0">
                <w:txbxContent>
                  <w:p w:rsidR="007E168C" w:rsidRPr="007E168C" w:rsidRDefault="007E168C" w:rsidP="007E168C">
                    <w:pPr>
                      <w:spacing w:after="0"/>
                      <w:rPr>
                        <w:rFonts w:ascii="Calibri" w:hAnsi="Calibri" w:cs="Calibri"/>
                        <w:color w:val="FF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2936" w:rsidRDefault="00692936" w:rsidP="007E168C">
      <w:pPr>
        <w:spacing w:after="0" w:line="240" w:lineRule="auto"/>
      </w:pPr>
      <w:r>
        <w:separator/>
      </w:r>
    </w:p>
  </w:footnote>
  <w:footnote w:type="continuationSeparator" w:id="0">
    <w:p w:rsidR="00692936" w:rsidRDefault="00692936" w:rsidP="007E16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0.55pt;height:10.55pt" o:bullet="t">
        <v:imagedata r:id="rId1" o:title="msoE5E1"/>
      </v:shape>
    </w:pict>
  </w:numPicBullet>
  <w:abstractNum w:abstractNumId="0" w15:restartNumberingAfterBreak="0">
    <w:nsid w:val="01235B61"/>
    <w:multiLevelType w:val="hybridMultilevel"/>
    <w:tmpl w:val="E4009336"/>
    <w:lvl w:ilvl="0" w:tplc="F39412E4">
      <w:start w:val="1"/>
      <w:numFmt w:val="bullet"/>
      <w:lvlText w:val="-"/>
      <w:lvlJc w:val="left"/>
      <w:pPr>
        <w:tabs>
          <w:tab w:val="num" w:pos="720"/>
        </w:tabs>
        <w:ind w:left="720" w:hanging="360"/>
      </w:pPr>
      <w:rPr>
        <w:rFonts w:ascii="Times New Roman" w:hAnsi="Times New Roman" w:hint="default"/>
      </w:rPr>
    </w:lvl>
    <w:lvl w:ilvl="1" w:tplc="0ABAD602">
      <w:start w:val="2394"/>
      <w:numFmt w:val="bullet"/>
      <w:lvlText w:val="-"/>
      <w:lvlJc w:val="left"/>
      <w:pPr>
        <w:tabs>
          <w:tab w:val="num" w:pos="1440"/>
        </w:tabs>
        <w:ind w:left="1440" w:hanging="360"/>
      </w:pPr>
      <w:rPr>
        <w:rFonts w:ascii="Times New Roman" w:hAnsi="Times New Roman" w:hint="default"/>
      </w:rPr>
    </w:lvl>
    <w:lvl w:ilvl="2" w:tplc="97786C82" w:tentative="1">
      <w:start w:val="1"/>
      <w:numFmt w:val="bullet"/>
      <w:lvlText w:val="-"/>
      <w:lvlJc w:val="left"/>
      <w:pPr>
        <w:tabs>
          <w:tab w:val="num" w:pos="2160"/>
        </w:tabs>
        <w:ind w:left="2160" w:hanging="360"/>
      </w:pPr>
      <w:rPr>
        <w:rFonts w:ascii="Times New Roman" w:hAnsi="Times New Roman" w:hint="default"/>
      </w:rPr>
    </w:lvl>
    <w:lvl w:ilvl="3" w:tplc="33E2CE88" w:tentative="1">
      <w:start w:val="1"/>
      <w:numFmt w:val="bullet"/>
      <w:lvlText w:val="-"/>
      <w:lvlJc w:val="left"/>
      <w:pPr>
        <w:tabs>
          <w:tab w:val="num" w:pos="2880"/>
        </w:tabs>
        <w:ind w:left="2880" w:hanging="360"/>
      </w:pPr>
      <w:rPr>
        <w:rFonts w:ascii="Times New Roman" w:hAnsi="Times New Roman" w:hint="default"/>
      </w:rPr>
    </w:lvl>
    <w:lvl w:ilvl="4" w:tplc="B0345680" w:tentative="1">
      <w:start w:val="1"/>
      <w:numFmt w:val="bullet"/>
      <w:lvlText w:val="-"/>
      <w:lvlJc w:val="left"/>
      <w:pPr>
        <w:tabs>
          <w:tab w:val="num" w:pos="3600"/>
        </w:tabs>
        <w:ind w:left="3600" w:hanging="360"/>
      </w:pPr>
      <w:rPr>
        <w:rFonts w:ascii="Times New Roman" w:hAnsi="Times New Roman" w:hint="default"/>
      </w:rPr>
    </w:lvl>
    <w:lvl w:ilvl="5" w:tplc="F976D100" w:tentative="1">
      <w:start w:val="1"/>
      <w:numFmt w:val="bullet"/>
      <w:lvlText w:val="-"/>
      <w:lvlJc w:val="left"/>
      <w:pPr>
        <w:tabs>
          <w:tab w:val="num" w:pos="4320"/>
        </w:tabs>
        <w:ind w:left="4320" w:hanging="360"/>
      </w:pPr>
      <w:rPr>
        <w:rFonts w:ascii="Times New Roman" w:hAnsi="Times New Roman" w:hint="default"/>
      </w:rPr>
    </w:lvl>
    <w:lvl w:ilvl="6" w:tplc="A5122096" w:tentative="1">
      <w:start w:val="1"/>
      <w:numFmt w:val="bullet"/>
      <w:lvlText w:val="-"/>
      <w:lvlJc w:val="left"/>
      <w:pPr>
        <w:tabs>
          <w:tab w:val="num" w:pos="5040"/>
        </w:tabs>
        <w:ind w:left="5040" w:hanging="360"/>
      </w:pPr>
      <w:rPr>
        <w:rFonts w:ascii="Times New Roman" w:hAnsi="Times New Roman" w:hint="default"/>
      </w:rPr>
    </w:lvl>
    <w:lvl w:ilvl="7" w:tplc="6C1E329C" w:tentative="1">
      <w:start w:val="1"/>
      <w:numFmt w:val="bullet"/>
      <w:lvlText w:val="-"/>
      <w:lvlJc w:val="left"/>
      <w:pPr>
        <w:tabs>
          <w:tab w:val="num" w:pos="5760"/>
        </w:tabs>
        <w:ind w:left="5760" w:hanging="360"/>
      </w:pPr>
      <w:rPr>
        <w:rFonts w:ascii="Times New Roman" w:hAnsi="Times New Roman" w:hint="default"/>
      </w:rPr>
    </w:lvl>
    <w:lvl w:ilvl="8" w:tplc="D0865F1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7B82D57"/>
    <w:multiLevelType w:val="hybridMultilevel"/>
    <w:tmpl w:val="D968E56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21003AD2"/>
    <w:multiLevelType w:val="hybridMultilevel"/>
    <w:tmpl w:val="744E5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9B677D"/>
    <w:multiLevelType w:val="hybridMultilevel"/>
    <w:tmpl w:val="6C3E20F8"/>
    <w:lvl w:ilvl="0" w:tplc="25A6C89A">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093A6C"/>
    <w:multiLevelType w:val="hybridMultilevel"/>
    <w:tmpl w:val="13D8A24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08105876">
    <w:abstractNumId w:val="2"/>
  </w:num>
  <w:num w:numId="2" w16cid:durableId="1540506976">
    <w:abstractNumId w:val="0"/>
  </w:num>
  <w:num w:numId="3" w16cid:durableId="188951218">
    <w:abstractNumId w:val="4"/>
  </w:num>
  <w:num w:numId="4" w16cid:durableId="1822964242">
    <w:abstractNumId w:val="3"/>
  </w:num>
  <w:num w:numId="5" w16cid:durableId="1002725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activeWritingStyle w:appName="MSWord" w:lang="fr-FR" w:vendorID="64" w:dllVersion="6" w:nlCheck="1" w:checkStyle="1"/>
  <w:activeWritingStyle w:appName="MSWord" w:lang="fr-FR" w:vendorID="64" w:dllVersion="0" w:nlCheck="1" w:checkStyle="0"/>
  <w:activeWritingStyle w:appName="MSWord" w:lang="fr-F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B4B"/>
    <w:rsid w:val="000405C9"/>
    <w:rsid w:val="00052E88"/>
    <w:rsid w:val="000A31B7"/>
    <w:rsid w:val="00143B4B"/>
    <w:rsid w:val="001F2826"/>
    <w:rsid w:val="002256B4"/>
    <w:rsid w:val="00225F06"/>
    <w:rsid w:val="002A4DC7"/>
    <w:rsid w:val="002C4CEA"/>
    <w:rsid w:val="002D32BB"/>
    <w:rsid w:val="002D5EDE"/>
    <w:rsid w:val="002E36A8"/>
    <w:rsid w:val="00347FA9"/>
    <w:rsid w:val="003569AD"/>
    <w:rsid w:val="00385C1A"/>
    <w:rsid w:val="003F0276"/>
    <w:rsid w:val="00413637"/>
    <w:rsid w:val="00425DCA"/>
    <w:rsid w:val="00442B15"/>
    <w:rsid w:val="00451B06"/>
    <w:rsid w:val="004A45DE"/>
    <w:rsid w:val="004D1421"/>
    <w:rsid w:val="004D1E6C"/>
    <w:rsid w:val="004D446B"/>
    <w:rsid w:val="00510187"/>
    <w:rsid w:val="00550DEA"/>
    <w:rsid w:val="0055634C"/>
    <w:rsid w:val="00573BCD"/>
    <w:rsid w:val="00603D45"/>
    <w:rsid w:val="006661F7"/>
    <w:rsid w:val="00677F8D"/>
    <w:rsid w:val="00692936"/>
    <w:rsid w:val="006957A7"/>
    <w:rsid w:val="0069688F"/>
    <w:rsid w:val="00697937"/>
    <w:rsid w:val="007005B2"/>
    <w:rsid w:val="007063CB"/>
    <w:rsid w:val="00707415"/>
    <w:rsid w:val="00754749"/>
    <w:rsid w:val="007D043A"/>
    <w:rsid w:val="007E168C"/>
    <w:rsid w:val="007E380D"/>
    <w:rsid w:val="007F3530"/>
    <w:rsid w:val="008755E7"/>
    <w:rsid w:val="008E56D5"/>
    <w:rsid w:val="00921626"/>
    <w:rsid w:val="00965F54"/>
    <w:rsid w:val="009848CD"/>
    <w:rsid w:val="0098636E"/>
    <w:rsid w:val="00992C5B"/>
    <w:rsid w:val="009A6322"/>
    <w:rsid w:val="009C352C"/>
    <w:rsid w:val="009E5533"/>
    <w:rsid w:val="00A71881"/>
    <w:rsid w:val="00AC71A6"/>
    <w:rsid w:val="00B26895"/>
    <w:rsid w:val="00B42420"/>
    <w:rsid w:val="00B50F3B"/>
    <w:rsid w:val="00B91235"/>
    <w:rsid w:val="00BC5F89"/>
    <w:rsid w:val="00C01998"/>
    <w:rsid w:val="00C57AE5"/>
    <w:rsid w:val="00C63F35"/>
    <w:rsid w:val="00C7300D"/>
    <w:rsid w:val="00CC436A"/>
    <w:rsid w:val="00CF3959"/>
    <w:rsid w:val="00D127D2"/>
    <w:rsid w:val="00DD172C"/>
    <w:rsid w:val="00E35EF1"/>
    <w:rsid w:val="00E83FDE"/>
    <w:rsid w:val="00E965EC"/>
    <w:rsid w:val="00EB3D41"/>
    <w:rsid w:val="00F56C70"/>
    <w:rsid w:val="00F82E25"/>
    <w:rsid w:val="00F87050"/>
    <w:rsid w:val="00FA0146"/>
    <w:rsid w:val="00FB08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E681DD2-A398-4349-AEF1-F58B67F5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43B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3B4B"/>
    <w:rPr>
      <w:rFonts w:ascii="Tahoma" w:hAnsi="Tahoma" w:cs="Tahoma"/>
      <w:sz w:val="16"/>
      <w:szCs w:val="16"/>
    </w:rPr>
  </w:style>
  <w:style w:type="paragraph" w:styleId="Paragraphedeliste">
    <w:name w:val="List Paragraph"/>
    <w:basedOn w:val="Normal"/>
    <w:uiPriority w:val="34"/>
    <w:qFormat/>
    <w:rsid w:val="00347FA9"/>
    <w:pPr>
      <w:ind w:left="720"/>
      <w:contextualSpacing/>
    </w:pPr>
  </w:style>
  <w:style w:type="paragraph" w:customStyle="1" w:styleId="Default">
    <w:name w:val="Default"/>
    <w:rsid w:val="00677F8D"/>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CF3959"/>
    <w:rPr>
      <w:color w:val="0000FF"/>
      <w:u w:val="single"/>
    </w:rPr>
  </w:style>
  <w:style w:type="character" w:styleId="Marquedecommentaire">
    <w:name w:val="annotation reference"/>
    <w:basedOn w:val="Policepardfaut"/>
    <w:uiPriority w:val="99"/>
    <w:semiHidden/>
    <w:unhideWhenUsed/>
    <w:rsid w:val="00442B15"/>
    <w:rPr>
      <w:sz w:val="16"/>
      <w:szCs w:val="16"/>
    </w:rPr>
  </w:style>
  <w:style w:type="paragraph" w:styleId="Commentaire">
    <w:name w:val="annotation text"/>
    <w:basedOn w:val="Normal"/>
    <w:link w:val="CommentaireCar"/>
    <w:uiPriority w:val="99"/>
    <w:semiHidden/>
    <w:unhideWhenUsed/>
    <w:rsid w:val="00442B15"/>
    <w:pPr>
      <w:spacing w:line="240" w:lineRule="auto"/>
    </w:pPr>
    <w:rPr>
      <w:sz w:val="20"/>
      <w:szCs w:val="20"/>
    </w:rPr>
  </w:style>
  <w:style w:type="character" w:customStyle="1" w:styleId="CommentaireCar">
    <w:name w:val="Commentaire Car"/>
    <w:basedOn w:val="Policepardfaut"/>
    <w:link w:val="Commentaire"/>
    <w:uiPriority w:val="99"/>
    <w:semiHidden/>
    <w:rsid w:val="00442B15"/>
    <w:rPr>
      <w:sz w:val="20"/>
      <w:szCs w:val="20"/>
    </w:rPr>
  </w:style>
  <w:style w:type="paragraph" w:styleId="Objetducommentaire">
    <w:name w:val="annotation subject"/>
    <w:basedOn w:val="Commentaire"/>
    <w:next w:val="Commentaire"/>
    <w:link w:val="ObjetducommentaireCar"/>
    <w:uiPriority w:val="99"/>
    <w:semiHidden/>
    <w:unhideWhenUsed/>
    <w:rsid w:val="00442B15"/>
    <w:rPr>
      <w:b/>
      <w:bCs/>
    </w:rPr>
  </w:style>
  <w:style w:type="character" w:customStyle="1" w:styleId="ObjetducommentaireCar">
    <w:name w:val="Objet du commentaire Car"/>
    <w:basedOn w:val="CommentaireCar"/>
    <w:link w:val="Objetducommentaire"/>
    <w:uiPriority w:val="99"/>
    <w:semiHidden/>
    <w:rsid w:val="00442B15"/>
    <w:rPr>
      <w:b/>
      <w:bCs/>
      <w:sz w:val="20"/>
      <w:szCs w:val="20"/>
    </w:rPr>
  </w:style>
  <w:style w:type="paragraph" w:styleId="Sansinterligne">
    <w:name w:val="No Spacing"/>
    <w:rsid w:val="007E168C"/>
    <w:pPr>
      <w:suppressAutoHyphens/>
      <w:autoSpaceDN w:val="0"/>
      <w:spacing w:after="0" w:line="240" w:lineRule="auto"/>
    </w:pPr>
    <w:rPr>
      <w:rFonts w:ascii="Calibri" w:eastAsia="Calibri" w:hAnsi="Calibri" w:cs="Times New Roman"/>
    </w:rPr>
  </w:style>
  <w:style w:type="character" w:customStyle="1" w:styleId="Mentionnonrsolue1">
    <w:name w:val="Mention non résolue1"/>
    <w:basedOn w:val="Policepardfaut"/>
    <w:uiPriority w:val="99"/>
    <w:semiHidden/>
    <w:unhideWhenUsed/>
    <w:rsid w:val="007E168C"/>
    <w:rPr>
      <w:color w:val="605E5C"/>
      <w:shd w:val="clear" w:color="auto" w:fill="E1DFDD"/>
    </w:rPr>
  </w:style>
  <w:style w:type="paragraph" w:styleId="En-tte">
    <w:name w:val="header"/>
    <w:basedOn w:val="Normal"/>
    <w:link w:val="En-tteCar"/>
    <w:uiPriority w:val="99"/>
    <w:unhideWhenUsed/>
    <w:rsid w:val="007E168C"/>
    <w:pPr>
      <w:tabs>
        <w:tab w:val="center" w:pos="4536"/>
        <w:tab w:val="right" w:pos="9072"/>
      </w:tabs>
      <w:spacing w:after="0" w:line="240" w:lineRule="auto"/>
    </w:pPr>
  </w:style>
  <w:style w:type="character" w:customStyle="1" w:styleId="En-tteCar">
    <w:name w:val="En-tête Car"/>
    <w:basedOn w:val="Policepardfaut"/>
    <w:link w:val="En-tte"/>
    <w:uiPriority w:val="99"/>
    <w:rsid w:val="007E168C"/>
  </w:style>
  <w:style w:type="paragraph" w:styleId="Pieddepage">
    <w:name w:val="footer"/>
    <w:basedOn w:val="Normal"/>
    <w:link w:val="PieddepageCar"/>
    <w:uiPriority w:val="99"/>
    <w:unhideWhenUsed/>
    <w:rsid w:val="007E16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1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35380">
      <w:bodyDiv w:val="1"/>
      <w:marLeft w:val="0"/>
      <w:marRight w:val="0"/>
      <w:marTop w:val="0"/>
      <w:marBottom w:val="0"/>
      <w:divBdr>
        <w:top w:val="none" w:sz="0" w:space="0" w:color="auto"/>
        <w:left w:val="none" w:sz="0" w:space="0" w:color="auto"/>
        <w:bottom w:val="none" w:sz="0" w:space="0" w:color="auto"/>
        <w:right w:val="none" w:sz="0" w:space="0" w:color="auto"/>
      </w:divBdr>
    </w:div>
    <w:div w:id="912006001">
      <w:bodyDiv w:val="1"/>
      <w:marLeft w:val="0"/>
      <w:marRight w:val="0"/>
      <w:marTop w:val="0"/>
      <w:marBottom w:val="0"/>
      <w:divBdr>
        <w:top w:val="none" w:sz="0" w:space="0" w:color="auto"/>
        <w:left w:val="none" w:sz="0" w:space="0" w:color="auto"/>
        <w:bottom w:val="none" w:sz="0" w:space="0" w:color="auto"/>
        <w:right w:val="none" w:sz="0" w:space="0" w:color="auto"/>
      </w:divBdr>
    </w:div>
    <w:div w:id="947471900">
      <w:bodyDiv w:val="1"/>
      <w:marLeft w:val="0"/>
      <w:marRight w:val="0"/>
      <w:marTop w:val="0"/>
      <w:marBottom w:val="0"/>
      <w:divBdr>
        <w:top w:val="none" w:sz="0" w:space="0" w:color="auto"/>
        <w:left w:val="none" w:sz="0" w:space="0" w:color="auto"/>
        <w:bottom w:val="none" w:sz="0" w:space="0" w:color="auto"/>
        <w:right w:val="none" w:sz="0" w:space="0" w:color="auto"/>
      </w:divBdr>
      <w:divsChild>
        <w:div w:id="1834100777">
          <w:marLeft w:val="446"/>
          <w:marRight w:val="0"/>
          <w:marTop w:val="94"/>
          <w:marBottom w:val="0"/>
          <w:divBdr>
            <w:top w:val="none" w:sz="0" w:space="0" w:color="auto"/>
            <w:left w:val="none" w:sz="0" w:space="0" w:color="auto"/>
            <w:bottom w:val="none" w:sz="0" w:space="0" w:color="auto"/>
            <w:right w:val="none" w:sz="0" w:space="0" w:color="auto"/>
          </w:divBdr>
        </w:div>
        <w:div w:id="165559835">
          <w:marLeft w:val="446"/>
          <w:marRight w:val="0"/>
          <w:marTop w:val="94"/>
          <w:marBottom w:val="0"/>
          <w:divBdr>
            <w:top w:val="none" w:sz="0" w:space="0" w:color="auto"/>
            <w:left w:val="none" w:sz="0" w:space="0" w:color="auto"/>
            <w:bottom w:val="none" w:sz="0" w:space="0" w:color="auto"/>
            <w:right w:val="none" w:sz="0" w:space="0" w:color="auto"/>
          </w:divBdr>
        </w:div>
        <w:div w:id="906457466">
          <w:marLeft w:val="1166"/>
          <w:marRight w:val="0"/>
          <w:marTop w:val="94"/>
          <w:marBottom w:val="0"/>
          <w:divBdr>
            <w:top w:val="none" w:sz="0" w:space="0" w:color="auto"/>
            <w:left w:val="none" w:sz="0" w:space="0" w:color="auto"/>
            <w:bottom w:val="none" w:sz="0" w:space="0" w:color="auto"/>
            <w:right w:val="none" w:sz="0" w:space="0" w:color="auto"/>
          </w:divBdr>
        </w:div>
        <w:div w:id="1458450696">
          <w:marLeft w:val="1166"/>
          <w:marRight w:val="0"/>
          <w:marTop w:val="94"/>
          <w:marBottom w:val="0"/>
          <w:divBdr>
            <w:top w:val="none" w:sz="0" w:space="0" w:color="auto"/>
            <w:left w:val="none" w:sz="0" w:space="0" w:color="auto"/>
            <w:bottom w:val="none" w:sz="0" w:space="0" w:color="auto"/>
            <w:right w:val="none" w:sz="0" w:space="0" w:color="auto"/>
          </w:divBdr>
        </w:div>
        <w:div w:id="752122655">
          <w:marLeft w:val="1166"/>
          <w:marRight w:val="0"/>
          <w:marTop w:val="94"/>
          <w:marBottom w:val="0"/>
          <w:divBdr>
            <w:top w:val="none" w:sz="0" w:space="0" w:color="auto"/>
            <w:left w:val="none" w:sz="0" w:space="0" w:color="auto"/>
            <w:bottom w:val="none" w:sz="0" w:space="0" w:color="auto"/>
            <w:right w:val="none" w:sz="0" w:space="0" w:color="auto"/>
          </w:divBdr>
        </w:div>
        <w:div w:id="2126194232">
          <w:marLeft w:val="1166"/>
          <w:marRight w:val="0"/>
          <w:marTop w:val="94"/>
          <w:marBottom w:val="0"/>
          <w:divBdr>
            <w:top w:val="none" w:sz="0" w:space="0" w:color="auto"/>
            <w:left w:val="none" w:sz="0" w:space="0" w:color="auto"/>
            <w:bottom w:val="none" w:sz="0" w:space="0" w:color="auto"/>
            <w:right w:val="none" w:sz="0" w:space="0" w:color="auto"/>
          </w:divBdr>
        </w:div>
        <w:div w:id="247275550">
          <w:marLeft w:val="1166"/>
          <w:marRight w:val="0"/>
          <w:marTop w:val="101"/>
          <w:marBottom w:val="0"/>
          <w:divBdr>
            <w:top w:val="none" w:sz="0" w:space="0" w:color="auto"/>
            <w:left w:val="none" w:sz="0" w:space="0" w:color="auto"/>
            <w:bottom w:val="none" w:sz="0" w:space="0" w:color="auto"/>
            <w:right w:val="none" w:sz="0" w:space="0" w:color="auto"/>
          </w:divBdr>
        </w:div>
        <w:div w:id="880165077">
          <w:marLeft w:val="1166"/>
          <w:marRight w:val="0"/>
          <w:marTop w:val="101"/>
          <w:marBottom w:val="0"/>
          <w:divBdr>
            <w:top w:val="none" w:sz="0" w:space="0" w:color="auto"/>
            <w:left w:val="none" w:sz="0" w:space="0" w:color="auto"/>
            <w:bottom w:val="none" w:sz="0" w:space="0" w:color="auto"/>
            <w:right w:val="none" w:sz="0" w:space="0" w:color="auto"/>
          </w:divBdr>
        </w:div>
        <w:div w:id="1626109681">
          <w:marLeft w:val="1166"/>
          <w:marRight w:val="0"/>
          <w:marTop w:val="101"/>
          <w:marBottom w:val="0"/>
          <w:divBdr>
            <w:top w:val="none" w:sz="0" w:space="0" w:color="auto"/>
            <w:left w:val="none" w:sz="0" w:space="0" w:color="auto"/>
            <w:bottom w:val="none" w:sz="0" w:space="0" w:color="auto"/>
            <w:right w:val="none" w:sz="0" w:space="0" w:color="auto"/>
          </w:divBdr>
        </w:div>
      </w:divsChild>
    </w:div>
    <w:div w:id="1567957430">
      <w:bodyDiv w:val="1"/>
      <w:marLeft w:val="0"/>
      <w:marRight w:val="0"/>
      <w:marTop w:val="0"/>
      <w:marBottom w:val="0"/>
      <w:divBdr>
        <w:top w:val="none" w:sz="0" w:space="0" w:color="auto"/>
        <w:left w:val="none" w:sz="0" w:space="0" w:color="auto"/>
        <w:bottom w:val="none" w:sz="0" w:space="0" w:color="auto"/>
        <w:right w:val="none" w:sz="0" w:space="0" w:color="auto"/>
      </w:divBdr>
    </w:div>
    <w:div w:id="2024554292">
      <w:bodyDiv w:val="1"/>
      <w:marLeft w:val="0"/>
      <w:marRight w:val="0"/>
      <w:marTop w:val="0"/>
      <w:marBottom w:val="0"/>
      <w:divBdr>
        <w:top w:val="none" w:sz="0" w:space="0" w:color="auto"/>
        <w:left w:val="none" w:sz="0" w:space="0" w:color="auto"/>
        <w:bottom w:val="none" w:sz="0" w:space="0" w:color="auto"/>
        <w:right w:val="none" w:sz="0" w:space="0" w:color="auto"/>
      </w:divBdr>
    </w:div>
    <w:div w:id="212626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homas.lhuillery@ars.sante.fr" TargetMode="External"/><Relationship Id="rId4" Type="http://schemas.openxmlformats.org/officeDocument/2006/relationships/webSettings" Target="webSettings.xml"/><Relationship Id="rId9" Type="http://schemas.openxmlformats.org/officeDocument/2006/relationships/hyperlink" Target="mailto:fauverny@image7.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884</Words>
  <Characters>4867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COLMANT, Coralie</dc:creator>
  <cp:lastModifiedBy>Microsoft Office User</cp:lastModifiedBy>
  <cp:revision>2</cp:revision>
  <dcterms:created xsi:type="dcterms:W3CDTF">2023-06-28T09:19:00Z</dcterms:created>
  <dcterms:modified xsi:type="dcterms:W3CDTF">2023-06-28T09:19:00Z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4e1e3e5-28aa-42d2-a9d5-f117a2286530_Enabled">
    <vt:lpwstr>true</vt:lpwstr>
  </property>
  <property fmtid="{D5CDD505-2E9C-101B-9397-08002B2CF9AE}" pid="3" name="MSIP_Label_94e1e3e5-28aa-42d2-a9d5-f117a2286530_SetDate">
    <vt:lpwstr>2023-06-23T12:27:47Z</vt:lpwstr>
  </property>
  <property fmtid="{D5CDD505-2E9C-101B-9397-08002B2CF9AE}" pid="4" name="MSIP_Label_94e1e3e5-28aa-42d2-a9d5-f117a2286530_Method">
    <vt:lpwstr>Standard</vt:lpwstr>
  </property>
  <property fmtid="{D5CDD505-2E9C-101B-9397-08002B2CF9AE}" pid="5" name="MSIP_Label_94e1e3e5-28aa-42d2-a9d5-f117a2286530_Name">
    <vt:lpwstr>C2-Interne avec marquage</vt:lpwstr>
  </property>
  <property fmtid="{D5CDD505-2E9C-101B-9397-08002B2CF9AE}" pid="6" name="MSIP_Label_94e1e3e5-28aa-42d2-a9d5-f117a2286530_SiteId">
    <vt:lpwstr>6eab6365-8194-49c6-a4d0-e2d1a0fbeb74</vt:lpwstr>
  </property>
  <property fmtid="{D5CDD505-2E9C-101B-9397-08002B2CF9AE}" pid="7" name="MSIP_Label_94e1e3e5-28aa-42d2-a9d5-f117a2286530_ActionId">
    <vt:lpwstr>b795b48c-5d81-426f-b892-42ea1ee9a015</vt:lpwstr>
  </property>
  <property fmtid="{D5CDD505-2E9C-101B-9397-08002B2CF9AE}" pid="8" name="MSIP_Label_94e1e3e5-28aa-42d2-a9d5-f117a2286530_ContentBits">
    <vt:lpwstr>2</vt:lpwstr>
  </property>
</Properties>
</file>