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234E8A7B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6D7B5A">
        <w:rPr>
          <w:color w:val="FFFFFF"/>
          <w:spacing w:val="-5"/>
          <w:sz w:val="50"/>
          <w:shd w:val="clear" w:color="auto" w:fill="1E36B1"/>
        </w:rPr>
        <w:t>1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A67900">
        <w:rPr>
          <w:color w:val="FFFFFF"/>
          <w:spacing w:val="-5"/>
          <w:sz w:val="50"/>
          <w:shd w:val="clear" w:color="auto" w:fill="1E36B1"/>
        </w:rPr>
        <w:t>Ouverture du dossier</w:t>
      </w:r>
    </w:p>
    <w:p w14:paraId="0E476875" w14:textId="1800697F" w:rsidR="008C0CEC" w:rsidRDefault="000C0FEC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Fiche de protection sociale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1E5C3024" w14:textId="77777777" w:rsidR="006945C7" w:rsidRDefault="006945C7" w:rsidP="006945C7">
      <w:pPr>
        <w:suppressAutoHyphens/>
        <w:spacing w:after="160" w:line="256" w:lineRule="auto"/>
      </w:pPr>
    </w:p>
    <w:p w14:paraId="5AE7A9C7" w14:textId="77777777" w:rsidR="006945C7" w:rsidRDefault="006945C7" w:rsidP="006945C7">
      <w:pPr>
        <w:suppressAutoHyphens/>
        <w:spacing w:after="160" w:line="256" w:lineRule="auto"/>
      </w:pPr>
    </w:p>
    <w:p w14:paraId="4D363D5C" w14:textId="77777777" w:rsidR="006945C7" w:rsidRDefault="006945C7" w:rsidP="006945C7">
      <w:pPr>
        <w:suppressAutoHyphens/>
        <w:spacing w:after="160" w:line="256" w:lineRule="auto"/>
      </w:pPr>
    </w:p>
    <w:p w14:paraId="1707C755" w14:textId="77777777" w:rsidR="006945C7" w:rsidRDefault="006945C7" w:rsidP="006945C7">
      <w:pPr>
        <w:suppressAutoHyphens/>
        <w:spacing w:after="160" w:line="256" w:lineRule="auto"/>
      </w:pPr>
    </w:p>
    <w:p w14:paraId="35FB4EC0" w14:textId="34DCD5ED" w:rsidR="006945C7" w:rsidRPr="006945C7" w:rsidRDefault="006945C7" w:rsidP="006945C7">
      <w:pPr>
        <w:suppressAutoHyphens/>
        <w:spacing w:after="160" w:line="256" w:lineRule="auto"/>
        <w:jc w:val="center"/>
        <w:rPr>
          <w:rFonts w:ascii="Calibri" w:eastAsia="Calibri" w:hAnsi="Calibri" w:cs="Calibri"/>
          <w:bCs/>
          <w:i/>
          <w:iCs/>
          <w:color w:val="FF0000"/>
          <w:sz w:val="36"/>
          <w:szCs w:val="36"/>
          <w:u w:val="single"/>
          <w:lang w:eastAsia="zh-CN" w:bidi="hi-IN"/>
        </w:rPr>
      </w:pPr>
      <w:r w:rsidRPr="006945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 w:bidi="hi-IN"/>
        </w:rPr>
        <w:t>Dispositions applicables à compter des avis du Comité médical ou de la Commission de réforme émis à partir du 8 mars 2019.</w:t>
      </w:r>
    </w:p>
    <w:p w14:paraId="380473D8" w14:textId="0508DB11" w:rsidR="00030148" w:rsidRDefault="00030148">
      <w:pPr>
        <w:rPr>
          <w:b/>
          <w:color w:val="17479E"/>
          <w:sz w:val="50"/>
        </w:rPr>
      </w:pPr>
    </w:p>
    <w:p w14:paraId="29C5E761" w14:textId="77777777" w:rsidR="000C0FEC" w:rsidRDefault="000C0FEC" w:rsidP="000C0FEC"/>
    <w:p w14:paraId="434C41D6" w14:textId="77777777" w:rsidR="000C0FEC" w:rsidRDefault="000C0FEC" w:rsidP="000C0FEC">
      <w:pPr>
        <w:pStyle w:val="Titre1"/>
        <w:ind w:left="1440"/>
      </w:pPr>
    </w:p>
    <w:p w14:paraId="06BEFB12" w14:textId="77777777" w:rsidR="006945C7" w:rsidRDefault="006945C7">
      <w:pPr>
        <w:rPr>
          <w:b/>
          <w:color w:val="17479E"/>
          <w:sz w:val="50"/>
        </w:rPr>
      </w:pPr>
      <w:r>
        <w:br w:type="page"/>
      </w:r>
    </w:p>
    <w:p w14:paraId="685732A5" w14:textId="77777777" w:rsidR="00DA33A8" w:rsidRPr="00DA33A8" w:rsidRDefault="00DA33A8" w:rsidP="00DA33A8">
      <w:pPr>
        <w:suppressAutoHyphens/>
        <w:spacing w:after="160" w:line="256" w:lineRule="auto"/>
        <w:rPr>
          <w:rFonts w:eastAsia="Times New Roman"/>
          <w:b/>
          <w:bCs/>
          <w:color w:val="000000"/>
          <w:u w:val="single"/>
          <w:lang w:eastAsia="zh-CN" w:bidi="hi-IN"/>
        </w:rPr>
      </w:pPr>
      <w:r w:rsidRPr="00DA33A8">
        <w:rPr>
          <w:rFonts w:eastAsia="Times New Roman"/>
          <w:b/>
          <w:bCs/>
          <w:color w:val="000000"/>
          <w:u w:val="single"/>
          <w:lang w:eastAsia="zh-CN" w:bidi="hi-IN"/>
        </w:rPr>
        <w:lastRenderedPageBreak/>
        <w:t>Textes/Références :</w:t>
      </w:r>
    </w:p>
    <w:p w14:paraId="743EE231" w14:textId="77777777" w:rsidR="00DA33A8" w:rsidRPr="00DA33A8" w:rsidRDefault="00DA33A8" w:rsidP="00DA33A8">
      <w:pPr>
        <w:suppressAutoHyphens/>
        <w:jc w:val="both"/>
        <w:rPr>
          <w:rFonts w:eastAsia="Calibri"/>
          <w:color w:val="1F497D" w:themeColor="text2"/>
          <w:lang w:eastAsia="zh-CN" w:bidi="hi-IN"/>
        </w:rPr>
      </w:pPr>
      <w:r w:rsidRPr="00DA33A8">
        <w:rPr>
          <w:rFonts w:eastAsia="Times New Roman"/>
          <w:color w:val="1F497D" w:themeColor="text2"/>
          <w:lang w:eastAsia="zh-CN" w:bidi="hi-IN"/>
        </w:rPr>
        <w:t xml:space="preserve">- </w:t>
      </w:r>
      <w:r w:rsidRPr="00DA33A8">
        <w:rPr>
          <w:rFonts w:eastAsia="Times New Roman"/>
          <w:b/>
          <w:bCs/>
          <w:color w:val="1F497D" w:themeColor="text2"/>
          <w:lang w:eastAsia="zh-CN" w:bidi="hi-IN"/>
        </w:rPr>
        <w:t xml:space="preserve">Décret n°85-1054 du 30 septembre 1985 modifié </w:t>
      </w:r>
      <w:r w:rsidRPr="00DA33A8">
        <w:rPr>
          <w:rFonts w:eastAsia="Times New Roman"/>
          <w:color w:val="1F497D" w:themeColor="text2"/>
          <w:lang w:eastAsia="zh-CN" w:bidi="hi-IN"/>
        </w:rPr>
        <w:t>relatif au reclassement des fonctionnaires territoriaux reconnus inaptes à l’exercice de leurs fonctions.</w:t>
      </w:r>
    </w:p>
    <w:p w14:paraId="2B78747A" w14:textId="77777777" w:rsidR="00DA33A8" w:rsidRPr="00DA33A8" w:rsidRDefault="00DA33A8" w:rsidP="00DA33A8">
      <w:pPr>
        <w:suppressAutoHyphens/>
        <w:jc w:val="both"/>
        <w:rPr>
          <w:rFonts w:eastAsia="Calibri"/>
          <w:color w:val="1F497D" w:themeColor="text2"/>
          <w:lang w:eastAsia="zh-CN" w:bidi="hi-IN"/>
        </w:rPr>
      </w:pPr>
      <w:r w:rsidRPr="00DA33A8">
        <w:rPr>
          <w:rFonts w:eastAsia="Times New Roman"/>
          <w:color w:val="1F497D" w:themeColor="text2"/>
          <w:lang w:eastAsia="zh-CN" w:bidi="hi-IN"/>
        </w:rPr>
        <w:t xml:space="preserve">- </w:t>
      </w:r>
      <w:r w:rsidRPr="00DA33A8">
        <w:rPr>
          <w:rFonts w:eastAsia="Times New Roman"/>
          <w:b/>
          <w:bCs/>
          <w:color w:val="1F497D" w:themeColor="text2"/>
          <w:lang w:eastAsia="zh-CN" w:bidi="hi-IN"/>
        </w:rPr>
        <w:t>Décret n°87-602 du 30 juillet 1987</w:t>
      </w:r>
      <w:r w:rsidRPr="00DA33A8">
        <w:rPr>
          <w:rFonts w:eastAsia="Times New Roman"/>
          <w:color w:val="1F497D" w:themeColor="text2"/>
          <w:lang w:eastAsia="zh-CN" w:bidi="hi-IN"/>
        </w:rPr>
        <w:t xml:space="preserve"> pris pour l'application de la loi n° 84-53 du 26 janvier 1984 portant dispositions statutaires relatives à la fonction publique territoriale et relatif à l'organisation des comités médicaux, aux conditions d'aptitude physique et au régime des congés de maladie des fonctionnaires territoriaux.</w:t>
      </w:r>
    </w:p>
    <w:p w14:paraId="47193DC4" w14:textId="77777777" w:rsidR="00DA33A8" w:rsidRPr="00DA33A8" w:rsidRDefault="00DA33A8" w:rsidP="00DA33A8">
      <w:pPr>
        <w:suppressAutoHyphens/>
        <w:jc w:val="both"/>
        <w:rPr>
          <w:rFonts w:eastAsia="Calibri"/>
          <w:color w:val="1F497D" w:themeColor="text2"/>
          <w:lang w:eastAsia="zh-CN" w:bidi="hi-IN"/>
        </w:rPr>
      </w:pPr>
      <w:r w:rsidRPr="00DA33A8">
        <w:rPr>
          <w:rFonts w:eastAsia="Times New Roman"/>
          <w:color w:val="1F497D" w:themeColor="text2"/>
          <w:lang w:eastAsia="zh-CN" w:bidi="hi-IN"/>
        </w:rPr>
        <w:t xml:space="preserve">- </w:t>
      </w:r>
      <w:r w:rsidRPr="00DA33A8">
        <w:rPr>
          <w:rFonts w:eastAsia="Times New Roman"/>
          <w:b/>
          <w:bCs/>
          <w:color w:val="1F497D" w:themeColor="text2"/>
          <w:lang w:eastAsia="zh-CN" w:bidi="hi-IN"/>
        </w:rPr>
        <w:t>Décret n°2019-172 du 5 mars 2019</w:t>
      </w:r>
      <w:r w:rsidRPr="00DA33A8">
        <w:rPr>
          <w:rFonts w:eastAsia="Times New Roman"/>
          <w:color w:val="1F497D" w:themeColor="text2"/>
          <w:lang w:eastAsia="zh-CN" w:bidi="hi-IN"/>
        </w:rPr>
        <w:t xml:space="preserve"> instituant une période de préparation au reclassement au profit des fonctionnaires territoriaux reconnus inaptes à l’exercice de leurs fonctions.</w:t>
      </w:r>
    </w:p>
    <w:p w14:paraId="2E63730D" w14:textId="77777777" w:rsidR="00DA33A8" w:rsidRPr="00DA33A8" w:rsidRDefault="00DA33A8" w:rsidP="00DA33A8">
      <w:pPr>
        <w:suppressAutoHyphens/>
        <w:spacing w:after="160" w:line="256" w:lineRule="auto"/>
        <w:rPr>
          <w:rFonts w:eastAsia="Times New Roman"/>
          <w:color w:val="1F497D" w:themeColor="text2"/>
          <w:lang w:eastAsia="zh-CN" w:bidi="hi-IN"/>
        </w:rPr>
      </w:pPr>
      <w:r w:rsidRPr="00DA33A8">
        <w:rPr>
          <w:rFonts w:eastAsia="Times New Roman"/>
          <w:color w:val="1F497D" w:themeColor="text2"/>
          <w:u w:val="single"/>
          <w:lang w:eastAsia="zh-CN" w:bidi="hi-IN"/>
        </w:rPr>
        <w:t>Date d’entrée en vigueur : 8 mars 2019</w:t>
      </w:r>
      <w:r w:rsidRPr="00DA33A8">
        <w:rPr>
          <w:rFonts w:eastAsia="Times New Roman"/>
          <w:color w:val="1F497D" w:themeColor="text2"/>
          <w:lang w:eastAsia="zh-CN" w:bidi="hi-IN"/>
        </w:rPr>
        <w:t>.</w:t>
      </w:r>
    </w:p>
    <w:p w14:paraId="38419450" w14:textId="77777777" w:rsidR="00DA33A8" w:rsidRPr="00DA33A8" w:rsidRDefault="00DA33A8" w:rsidP="00DA33A8">
      <w:pPr>
        <w:suppressAutoHyphens/>
        <w:jc w:val="both"/>
        <w:rPr>
          <w:rFonts w:eastAsia="Times New Roman"/>
          <w:color w:val="3333FF"/>
          <w:lang w:eastAsia="zh-CN" w:bidi="hi-IN"/>
        </w:rPr>
      </w:pPr>
    </w:p>
    <w:p w14:paraId="46E38BB1" w14:textId="77777777" w:rsidR="00DA33A8" w:rsidRPr="00DA33A8" w:rsidRDefault="00DA33A8" w:rsidP="00DA33A8">
      <w:pPr>
        <w:suppressAutoHyphens/>
        <w:spacing w:before="280" w:after="280"/>
        <w:jc w:val="both"/>
        <w:rPr>
          <w:rFonts w:eastAsia="Calibri"/>
          <w:lang w:eastAsia="zh-CN" w:bidi="hi-IN"/>
        </w:rPr>
      </w:pPr>
      <w:r w:rsidRPr="00DA33A8">
        <w:rPr>
          <w:rFonts w:eastAsia="Times New Roman"/>
          <w:lang w:eastAsia="zh-CN" w:bidi="hi-IN"/>
        </w:rPr>
        <w:t>La PPR a pour objet de préparer et, le cas échéant, de qualifier son bénéficiaire pour l’occupation de nouveaux emplois compatibles avec son état de santé, s’il y a lieu en dehors de sa collectivité ou son établissement public d’affectation. Elle vise à accompagner la transition professionnelle du fonctionnaire vers le reclassement.</w:t>
      </w:r>
    </w:p>
    <w:p w14:paraId="47D7F9F6" w14:textId="065ED1A2" w:rsidR="006945C7" w:rsidRDefault="006945C7" w:rsidP="006945C7"/>
    <w:p w14:paraId="7E9CF436" w14:textId="6651BCF1" w:rsidR="006945C7" w:rsidRDefault="006945C7" w:rsidP="006945C7"/>
    <w:p w14:paraId="68CA572B" w14:textId="77777777" w:rsidR="006945C7" w:rsidRDefault="006945C7" w:rsidP="006945C7"/>
    <w:p w14:paraId="19E38F74" w14:textId="14BB562A" w:rsidR="00D53843" w:rsidRDefault="00DA33A8" w:rsidP="00161581">
      <w:pPr>
        <w:pStyle w:val="Titre1"/>
        <w:numPr>
          <w:ilvl w:val="0"/>
          <w:numId w:val="2"/>
        </w:numPr>
      </w:pPr>
      <w:r>
        <w:t>Les bénéficiaires</w:t>
      </w:r>
    </w:p>
    <w:p w14:paraId="7A9A0261" w14:textId="015A483D" w:rsidR="003E0157" w:rsidRPr="00DE60D7" w:rsidRDefault="003E0157" w:rsidP="00D53843">
      <w:pPr>
        <w:rPr>
          <w:b/>
          <w:bCs/>
          <w:sz w:val="20"/>
          <w:szCs w:val="20"/>
        </w:rPr>
      </w:pPr>
    </w:p>
    <w:p w14:paraId="4454F5E1" w14:textId="77777777" w:rsidR="001433DC" w:rsidRPr="001433DC" w:rsidRDefault="001433DC" w:rsidP="001433DC">
      <w:pPr>
        <w:suppressAutoHyphens/>
        <w:spacing w:before="280" w:after="280"/>
        <w:jc w:val="both"/>
        <w:rPr>
          <w:rFonts w:eastAsia="Times New Roman"/>
          <w:lang w:eastAsia="zh-CN" w:bidi="hi-IN"/>
        </w:rPr>
      </w:pPr>
      <w:r w:rsidRPr="001433DC">
        <w:rPr>
          <w:rFonts w:eastAsia="Times New Roman"/>
          <w:u w:val="single"/>
          <w:lang w:eastAsia="zh-CN" w:bidi="hi-IN"/>
        </w:rPr>
        <w:t>Les fonctionnaires</w:t>
      </w:r>
      <w:r w:rsidRPr="001433DC">
        <w:rPr>
          <w:rFonts w:eastAsia="Times New Roman"/>
          <w:lang w:eastAsia="zh-CN" w:bidi="hi-IN"/>
        </w:rPr>
        <w:t xml:space="preserve"> territoriaux (titulaires), à temps complet et temps non complet, relevant du régime général (&lt; 28h) et du régime spécial CNRACL (≥ 28h) </w:t>
      </w:r>
      <w:r w:rsidRPr="001433DC">
        <w:rPr>
          <w:rFonts w:eastAsia="Times New Roman"/>
          <w:u w:val="single"/>
          <w:lang w:eastAsia="zh-CN" w:bidi="hi-IN"/>
        </w:rPr>
        <w:t>reconnus inaptes</w:t>
      </w:r>
      <w:r w:rsidRPr="001433DC">
        <w:rPr>
          <w:rFonts w:eastAsia="Times New Roman"/>
          <w:lang w:eastAsia="zh-CN" w:bidi="hi-IN"/>
        </w:rPr>
        <w:t xml:space="preserve">, du fait de leur état de santé, </w:t>
      </w:r>
      <w:r w:rsidRPr="001433DC">
        <w:rPr>
          <w:rFonts w:eastAsia="Times New Roman"/>
          <w:u w:val="single"/>
          <w:lang w:eastAsia="zh-CN" w:bidi="hi-IN"/>
        </w:rPr>
        <w:t>aux emplois de leur grade</w:t>
      </w:r>
      <w:r w:rsidRPr="001433DC">
        <w:rPr>
          <w:rFonts w:eastAsia="Times New Roman"/>
          <w:lang w:eastAsia="zh-CN" w:bidi="hi-IN"/>
        </w:rPr>
        <w:t>.</w:t>
      </w:r>
    </w:p>
    <w:p w14:paraId="0A6995F4" w14:textId="77777777" w:rsidR="001433DC" w:rsidRPr="001433DC" w:rsidRDefault="001433DC" w:rsidP="001433DC">
      <w:pPr>
        <w:suppressAutoHyphens/>
        <w:spacing w:before="280" w:after="280"/>
        <w:jc w:val="both"/>
        <w:rPr>
          <w:rFonts w:eastAsia="Times New Roman"/>
          <w:i/>
          <w:lang w:eastAsia="zh-CN" w:bidi="hi-IN"/>
        </w:rPr>
      </w:pPr>
      <w:r w:rsidRPr="001433DC">
        <w:rPr>
          <w:rFonts w:eastAsia="Times New Roman"/>
          <w:b/>
          <w:i/>
          <w:lang w:eastAsia="zh-CN" w:bidi="hi-IN"/>
        </w:rPr>
        <w:t>Sont exclus de la PPR</w:t>
      </w:r>
      <w:r w:rsidRPr="001433DC">
        <w:rPr>
          <w:rFonts w:eastAsia="Times New Roman"/>
          <w:i/>
          <w:lang w:eastAsia="zh-CN" w:bidi="hi-IN"/>
        </w:rPr>
        <w:t> :</w:t>
      </w:r>
    </w:p>
    <w:p w14:paraId="0FAA639F" w14:textId="77777777" w:rsidR="001433DC" w:rsidRPr="001433DC" w:rsidRDefault="001433DC" w:rsidP="001433DC">
      <w:pPr>
        <w:pStyle w:val="Paragraphedeliste"/>
        <w:numPr>
          <w:ilvl w:val="0"/>
          <w:numId w:val="13"/>
        </w:numPr>
        <w:suppressAutoHyphens/>
        <w:autoSpaceDE/>
        <w:autoSpaceDN/>
        <w:spacing w:before="280" w:after="280"/>
        <w:contextualSpacing/>
        <w:jc w:val="both"/>
        <w:rPr>
          <w:rFonts w:eastAsia="Times New Roman"/>
          <w:i/>
          <w:lang w:eastAsia="zh-CN" w:bidi="hi-IN"/>
        </w:rPr>
      </w:pPr>
      <w:r w:rsidRPr="001433DC">
        <w:rPr>
          <w:rFonts w:eastAsia="Times New Roman"/>
          <w:i/>
          <w:lang w:eastAsia="zh-CN" w:bidi="hi-IN"/>
        </w:rPr>
        <w:t xml:space="preserve">Les agents </w:t>
      </w:r>
      <w:r w:rsidRPr="001433DC">
        <w:rPr>
          <w:rFonts w:eastAsia="Times New Roman"/>
          <w:b/>
          <w:i/>
          <w:lang w:eastAsia="zh-CN" w:bidi="hi-IN"/>
        </w:rPr>
        <w:t>stagiaires,</w:t>
      </w:r>
    </w:p>
    <w:p w14:paraId="16BC8429" w14:textId="77777777" w:rsidR="001433DC" w:rsidRPr="001433DC" w:rsidRDefault="001433DC" w:rsidP="001433DC">
      <w:pPr>
        <w:pStyle w:val="Paragraphedeliste"/>
        <w:numPr>
          <w:ilvl w:val="0"/>
          <w:numId w:val="13"/>
        </w:numPr>
        <w:suppressAutoHyphens/>
        <w:autoSpaceDE/>
        <w:autoSpaceDN/>
        <w:spacing w:before="280" w:after="280"/>
        <w:contextualSpacing/>
        <w:jc w:val="both"/>
        <w:rPr>
          <w:rFonts w:eastAsia="Times New Roman"/>
          <w:i/>
          <w:lang w:eastAsia="zh-CN" w:bidi="hi-IN"/>
        </w:rPr>
      </w:pPr>
      <w:r w:rsidRPr="001433DC">
        <w:rPr>
          <w:rFonts w:eastAsia="Times New Roman"/>
          <w:i/>
          <w:lang w:eastAsia="zh-CN" w:bidi="hi-IN"/>
        </w:rPr>
        <w:t xml:space="preserve">Les agents </w:t>
      </w:r>
      <w:r w:rsidRPr="001433DC">
        <w:rPr>
          <w:rFonts w:eastAsia="Times New Roman"/>
          <w:b/>
          <w:i/>
          <w:lang w:eastAsia="zh-CN" w:bidi="hi-IN"/>
        </w:rPr>
        <w:t>contractuels de droit public et de droit privé</w:t>
      </w:r>
      <w:r w:rsidRPr="001433DC">
        <w:rPr>
          <w:rFonts w:eastAsia="Times New Roman"/>
          <w:i/>
          <w:lang w:eastAsia="zh-CN" w:bidi="hi-IN"/>
        </w:rPr>
        <w:t>,</w:t>
      </w:r>
    </w:p>
    <w:p w14:paraId="5926D19D" w14:textId="77777777" w:rsidR="001433DC" w:rsidRPr="001433DC" w:rsidRDefault="001433DC" w:rsidP="001433DC">
      <w:pPr>
        <w:pStyle w:val="Paragraphedeliste"/>
        <w:numPr>
          <w:ilvl w:val="0"/>
          <w:numId w:val="13"/>
        </w:numPr>
        <w:suppressAutoHyphens/>
        <w:autoSpaceDE/>
        <w:autoSpaceDN/>
        <w:spacing w:before="280" w:after="280"/>
        <w:contextualSpacing/>
        <w:jc w:val="both"/>
        <w:rPr>
          <w:rFonts w:eastAsia="Times New Roman"/>
          <w:i/>
          <w:lang w:eastAsia="zh-CN" w:bidi="hi-IN"/>
        </w:rPr>
      </w:pPr>
      <w:r w:rsidRPr="001433DC">
        <w:rPr>
          <w:rFonts w:eastAsia="Times New Roman"/>
          <w:b/>
          <w:i/>
          <w:lang w:eastAsia="zh-CN" w:bidi="hi-IN"/>
        </w:rPr>
        <w:t>Les fonctionnaires</w:t>
      </w:r>
      <w:r w:rsidRPr="001433DC">
        <w:rPr>
          <w:rFonts w:eastAsia="Times New Roman"/>
          <w:i/>
          <w:lang w:eastAsia="zh-CN" w:bidi="hi-IN"/>
        </w:rPr>
        <w:t xml:space="preserve"> reconnus inaptes totalement et définitivement à leurs fonctions mais </w:t>
      </w:r>
      <w:r w:rsidRPr="001433DC">
        <w:rPr>
          <w:rFonts w:eastAsia="Times New Roman"/>
          <w:b/>
          <w:i/>
          <w:lang w:eastAsia="zh-CN" w:bidi="hi-IN"/>
        </w:rPr>
        <w:t>qui pourraient remplir d’autres emplois de leur grade</w:t>
      </w:r>
      <w:r w:rsidRPr="001433DC">
        <w:rPr>
          <w:rFonts w:eastAsia="Times New Roman"/>
          <w:i/>
          <w:lang w:eastAsia="zh-CN" w:bidi="hi-IN"/>
        </w:rPr>
        <w:t xml:space="preserve"> (= changement d’affectation au sein du même grade),</w:t>
      </w:r>
    </w:p>
    <w:p w14:paraId="41446122" w14:textId="77777777" w:rsidR="001433DC" w:rsidRPr="001433DC" w:rsidRDefault="001433DC" w:rsidP="001433DC">
      <w:pPr>
        <w:pStyle w:val="Paragraphedeliste"/>
        <w:numPr>
          <w:ilvl w:val="0"/>
          <w:numId w:val="13"/>
        </w:numPr>
        <w:suppressAutoHyphens/>
        <w:autoSpaceDE/>
        <w:autoSpaceDN/>
        <w:ind w:left="714" w:hanging="357"/>
        <w:contextualSpacing/>
        <w:jc w:val="both"/>
        <w:rPr>
          <w:rFonts w:eastAsia="Times New Roman"/>
          <w:i/>
          <w:lang w:eastAsia="zh-CN" w:bidi="hi-IN"/>
        </w:rPr>
      </w:pPr>
      <w:r w:rsidRPr="001433DC">
        <w:rPr>
          <w:rFonts w:eastAsia="Times New Roman"/>
          <w:b/>
          <w:i/>
          <w:lang w:eastAsia="zh-CN" w:bidi="hi-IN"/>
        </w:rPr>
        <w:t>Les fonctionnaires</w:t>
      </w:r>
      <w:r w:rsidRPr="001433DC">
        <w:rPr>
          <w:rFonts w:eastAsia="Times New Roman"/>
          <w:i/>
          <w:lang w:eastAsia="zh-CN" w:bidi="hi-IN"/>
        </w:rPr>
        <w:t xml:space="preserve"> déclarés </w:t>
      </w:r>
      <w:r w:rsidRPr="001433DC">
        <w:rPr>
          <w:rFonts w:eastAsia="Times New Roman"/>
          <w:b/>
          <w:i/>
          <w:lang w:eastAsia="zh-CN" w:bidi="hi-IN"/>
        </w:rPr>
        <w:t xml:space="preserve">inaptes </w:t>
      </w:r>
      <w:r w:rsidRPr="001433DC">
        <w:rPr>
          <w:rFonts w:eastAsia="Times New Roman"/>
          <w:i/>
          <w:lang w:eastAsia="zh-CN" w:bidi="hi-IN"/>
        </w:rPr>
        <w:t xml:space="preserve">totalement et définitivement </w:t>
      </w:r>
      <w:r w:rsidRPr="001433DC">
        <w:rPr>
          <w:rFonts w:eastAsia="Times New Roman"/>
          <w:b/>
          <w:i/>
          <w:lang w:eastAsia="zh-CN" w:bidi="hi-IN"/>
        </w:rPr>
        <w:t>à toutes fonctions</w:t>
      </w:r>
      <w:r w:rsidRPr="001433DC">
        <w:rPr>
          <w:rFonts w:eastAsia="Times New Roman"/>
          <w:i/>
          <w:lang w:eastAsia="zh-CN" w:bidi="hi-IN"/>
        </w:rPr>
        <w:t>,</w:t>
      </w:r>
    </w:p>
    <w:p w14:paraId="774F1ACF" w14:textId="77777777" w:rsidR="001433DC" w:rsidRPr="001433DC" w:rsidRDefault="001433DC" w:rsidP="001433DC">
      <w:pPr>
        <w:numPr>
          <w:ilvl w:val="0"/>
          <w:numId w:val="13"/>
        </w:numPr>
        <w:suppressAutoHyphens/>
        <w:autoSpaceDE/>
        <w:autoSpaceDN/>
        <w:ind w:left="714" w:hanging="357"/>
        <w:contextualSpacing/>
        <w:jc w:val="both"/>
        <w:rPr>
          <w:rFonts w:eastAsia="Times New Roman"/>
          <w:i/>
          <w:lang w:eastAsia="zh-CN" w:bidi="hi-IN"/>
        </w:rPr>
      </w:pPr>
      <w:r w:rsidRPr="001433DC">
        <w:rPr>
          <w:rFonts w:eastAsia="Times New Roman"/>
          <w:b/>
          <w:i/>
          <w:lang w:eastAsia="zh-CN" w:bidi="hi-IN"/>
        </w:rPr>
        <w:t>Les fonctionnaires en position de détachement.</w:t>
      </w:r>
    </w:p>
    <w:p w14:paraId="0899C247" w14:textId="77777777" w:rsidR="00DE60D7" w:rsidRPr="00B44CFD" w:rsidRDefault="00DE60D7" w:rsidP="00F6372F">
      <w:pPr>
        <w:widowControl/>
        <w:spacing w:line="276" w:lineRule="auto"/>
        <w:jc w:val="both"/>
        <w:rPr>
          <w:rFonts w:eastAsia="Times New Roman"/>
          <w:b/>
          <w:noProof/>
        </w:rPr>
      </w:pPr>
    </w:p>
    <w:p w14:paraId="4F301D40" w14:textId="77777777" w:rsidR="00AA489E" w:rsidRDefault="00AA489E" w:rsidP="00931BDB"/>
    <w:p w14:paraId="36E37AAB" w14:textId="77777777" w:rsidR="001433DC" w:rsidRDefault="001433DC">
      <w:pPr>
        <w:rPr>
          <w:b/>
          <w:color w:val="17479E"/>
          <w:sz w:val="50"/>
        </w:rPr>
      </w:pPr>
      <w:r>
        <w:br w:type="page"/>
      </w:r>
    </w:p>
    <w:p w14:paraId="333CC3B3" w14:textId="67AE8477" w:rsidR="009C505A" w:rsidRDefault="001433DC" w:rsidP="00504475">
      <w:pPr>
        <w:pStyle w:val="Titre1"/>
        <w:numPr>
          <w:ilvl w:val="0"/>
          <w:numId w:val="2"/>
        </w:numPr>
      </w:pPr>
      <w:r>
        <w:lastRenderedPageBreak/>
        <w:t>Les congés maladies concernés</w:t>
      </w:r>
    </w:p>
    <w:p w14:paraId="3D2C73C2" w14:textId="77777777" w:rsidR="009C505A" w:rsidRDefault="009C505A" w:rsidP="009C505A"/>
    <w:p w14:paraId="6C350F21" w14:textId="1AA66D99" w:rsidR="00B5133C" w:rsidRDefault="00B5133C" w:rsidP="0093352E">
      <w:pPr>
        <w:pStyle w:val="Titre2"/>
        <w:ind w:left="0"/>
      </w:pPr>
    </w:p>
    <w:p w14:paraId="3533F19C" w14:textId="77777777" w:rsidR="00E924CD" w:rsidRPr="00E924CD" w:rsidRDefault="00E924CD" w:rsidP="00E924CD">
      <w:pPr>
        <w:suppressAutoHyphens/>
        <w:rPr>
          <w:rFonts w:eastAsia="Calibri"/>
          <w:lang w:eastAsia="zh-CN" w:bidi="hi-IN"/>
        </w:rPr>
      </w:pPr>
      <w:r w:rsidRPr="00E924CD">
        <w:rPr>
          <w:rFonts w:eastAsia="Calibri"/>
          <w:lang w:eastAsia="zh-CN" w:bidi="hi-IN"/>
        </w:rPr>
        <w:t>La PPR intervient à l’expiration :</w:t>
      </w:r>
    </w:p>
    <w:p w14:paraId="24C8AC50" w14:textId="77777777" w:rsidR="00E924CD" w:rsidRPr="00E924CD" w:rsidRDefault="00E924CD" w:rsidP="00E924CD">
      <w:pPr>
        <w:pStyle w:val="Paragraphedeliste"/>
        <w:numPr>
          <w:ilvl w:val="0"/>
          <w:numId w:val="13"/>
        </w:numPr>
        <w:suppressAutoHyphens/>
        <w:autoSpaceDE/>
        <w:autoSpaceDN/>
        <w:contextualSpacing/>
        <w:rPr>
          <w:rFonts w:eastAsia="Calibri"/>
          <w:lang w:eastAsia="zh-CN" w:bidi="hi-IN"/>
        </w:rPr>
      </w:pPr>
      <w:r w:rsidRPr="00E924CD">
        <w:rPr>
          <w:rFonts w:eastAsia="Calibri"/>
          <w:lang w:eastAsia="zh-CN" w:bidi="hi-IN"/>
        </w:rPr>
        <w:t>du CMO (congé de maladie ordinaire),</w:t>
      </w:r>
    </w:p>
    <w:p w14:paraId="41874D35" w14:textId="77777777" w:rsidR="00E924CD" w:rsidRPr="00E924CD" w:rsidRDefault="00E924CD" w:rsidP="00E924CD">
      <w:pPr>
        <w:pStyle w:val="Paragraphedeliste"/>
        <w:numPr>
          <w:ilvl w:val="0"/>
          <w:numId w:val="13"/>
        </w:numPr>
        <w:suppressAutoHyphens/>
        <w:autoSpaceDE/>
        <w:autoSpaceDN/>
        <w:contextualSpacing/>
        <w:rPr>
          <w:rFonts w:eastAsia="Calibri"/>
          <w:lang w:eastAsia="zh-CN" w:bidi="hi-IN"/>
        </w:rPr>
      </w:pPr>
      <w:r w:rsidRPr="00E924CD">
        <w:rPr>
          <w:rFonts w:eastAsia="Calibri"/>
          <w:lang w:eastAsia="zh-CN" w:bidi="hi-IN"/>
        </w:rPr>
        <w:t>du CLM (congé de longue maladie),</w:t>
      </w:r>
    </w:p>
    <w:p w14:paraId="7EA9C36A" w14:textId="77777777" w:rsidR="00E924CD" w:rsidRPr="00E924CD" w:rsidRDefault="00E924CD" w:rsidP="00E924CD">
      <w:pPr>
        <w:pStyle w:val="Paragraphedeliste"/>
        <w:numPr>
          <w:ilvl w:val="0"/>
          <w:numId w:val="13"/>
        </w:numPr>
        <w:suppressAutoHyphens/>
        <w:autoSpaceDE/>
        <w:autoSpaceDN/>
        <w:contextualSpacing/>
        <w:rPr>
          <w:rFonts w:eastAsia="Calibri"/>
          <w:lang w:eastAsia="zh-CN" w:bidi="hi-IN"/>
        </w:rPr>
      </w:pPr>
      <w:r w:rsidRPr="00E924CD">
        <w:rPr>
          <w:rFonts w:eastAsia="Calibri"/>
          <w:lang w:eastAsia="zh-CN" w:bidi="hi-IN"/>
        </w:rPr>
        <w:t>du CGM (congé de grave maladie),</w:t>
      </w:r>
    </w:p>
    <w:p w14:paraId="51BABF8E" w14:textId="77777777" w:rsidR="00E924CD" w:rsidRPr="00E924CD" w:rsidRDefault="00E924CD" w:rsidP="00E924CD">
      <w:pPr>
        <w:pStyle w:val="Paragraphedeliste"/>
        <w:numPr>
          <w:ilvl w:val="0"/>
          <w:numId w:val="13"/>
        </w:numPr>
        <w:suppressAutoHyphens/>
        <w:autoSpaceDE/>
        <w:autoSpaceDN/>
        <w:contextualSpacing/>
        <w:rPr>
          <w:rFonts w:eastAsia="Calibri"/>
          <w:lang w:eastAsia="zh-CN" w:bidi="hi-IN"/>
        </w:rPr>
      </w:pPr>
      <w:r w:rsidRPr="00E924CD">
        <w:rPr>
          <w:rFonts w:eastAsia="Calibri"/>
          <w:lang w:eastAsia="zh-CN" w:bidi="hi-IN"/>
        </w:rPr>
        <w:t>du CLD (congé de longue durée),</w:t>
      </w:r>
    </w:p>
    <w:p w14:paraId="045382C8" w14:textId="77777777" w:rsidR="00E924CD" w:rsidRPr="00E924CD" w:rsidRDefault="00E924CD" w:rsidP="00E924CD">
      <w:pPr>
        <w:pStyle w:val="Paragraphedeliste"/>
        <w:numPr>
          <w:ilvl w:val="0"/>
          <w:numId w:val="13"/>
        </w:numPr>
        <w:suppressAutoHyphens/>
        <w:autoSpaceDE/>
        <w:autoSpaceDN/>
        <w:contextualSpacing/>
        <w:rPr>
          <w:rFonts w:eastAsia="Calibri"/>
          <w:lang w:eastAsia="zh-CN" w:bidi="hi-IN"/>
        </w:rPr>
      </w:pPr>
      <w:r w:rsidRPr="00E924CD">
        <w:rPr>
          <w:rFonts w:eastAsia="Calibri"/>
          <w:lang w:eastAsia="zh-CN" w:bidi="hi-IN"/>
        </w:rPr>
        <w:t>du CITIS (congé pour invalidité temporaire imputable au service)</w:t>
      </w:r>
    </w:p>
    <w:p w14:paraId="12CCDE1E" w14:textId="77777777" w:rsidR="00E924CD" w:rsidRPr="00E924CD" w:rsidRDefault="00E924CD" w:rsidP="00E924CD">
      <w:pPr>
        <w:suppressAutoHyphens/>
        <w:ind w:left="1416"/>
        <w:jc w:val="both"/>
        <w:rPr>
          <w:rFonts w:eastAsia="Calibri"/>
          <w:u w:val="single"/>
          <w:lang w:eastAsia="zh-CN" w:bidi="hi-IN"/>
        </w:rPr>
      </w:pPr>
    </w:p>
    <w:p w14:paraId="5871E5DC" w14:textId="77777777" w:rsidR="00E924CD" w:rsidRPr="00E924CD" w:rsidRDefault="00E924CD" w:rsidP="00E924CD">
      <w:pPr>
        <w:suppressAutoHyphens/>
        <w:jc w:val="both"/>
        <w:rPr>
          <w:rFonts w:eastAsia="Calibri"/>
          <w:lang w:eastAsia="zh-CN" w:bidi="hi-IN"/>
        </w:rPr>
      </w:pPr>
      <w:r w:rsidRPr="00E924CD">
        <w:rPr>
          <w:rFonts w:eastAsia="Calibri"/>
          <w:b/>
          <w:color w:val="FF0000"/>
          <w:u w:val="single"/>
          <w:lang w:eastAsia="zh-CN" w:bidi="hi-IN"/>
        </w:rPr>
        <w:t>IMPORTANT</w:t>
      </w:r>
      <w:r w:rsidRPr="00E924CD">
        <w:rPr>
          <w:rFonts w:eastAsia="Calibri"/>
          <w:color w:val="FF0000"/>
          <w:lang w:eastAsia="zh-CN" w:bidi="hi-IN"/>
        </w:rPr>
        <w:t> </w:t>
      </w:r>
      <w:r w:rsidRPr="00E924CD">
        <w:rPr>
          <w:rFonts w:eastAsia="Calibri"/>
          <w:lang w:eastAsia="zh-CN" w:bidi="hi-IN"/>
        </w:rPr>
        <w:t xml:space="preserve">: un agent </w:t>
      </w:r>
      <w:r w:rsidRPr="00E924CD">
        <w:rPr>
          <w:rFonts w:eastAsia="Calibri"/>
          <w:b/>
          <w:u w:val="single"/>
          <w:lang w:eastAsia="zh-CN" w:bidi="hi-IN"/>
        </w:rPr>
        <w:t>titulaire CNRACL</w:t>
      </w:r>
      <w:r w:rsidRPr="00E924CD">
        <w:rPr>
          <w:rFonts w:eastAsia="Calibri"/>
          <w:lang w:eastAsia="zh-CN" w:bidi="hi-IN"/>
        </w:rPr>
        <w:t xml:space="preserve"> peut demander à bénéficier d’une PPR </w:t>
      </w:r>
      <w:r w:rsidRPr="00E924CD">
        <w:rPr>
          <w:rFonts w:eastAsia="Calibri"/>
          <w:b/>
          <w:lang w:eastAsia="zh-CN" w:bidi="hi-IN"/>
        </w:rPr>
        <w:t>avant d’avoir épuisé l’ensemble de ses droits à congé de maladie </w:t>
      </w:r>
      <w:r w:rsidRPr="00E924CD">
        <w:rPr>
          <w:rFonts w:eastAsia="Calibri"/>
          <w:lang w:eastAsia="zh-CN" w:bidi="hi-IN"/>
        </w:rPr>
        <w:t xml:space="preserve">; Pour cela, la collectivité territoriale devra saisir le Comité médical afin qu’il se prononce sur l’inaptitude absolue et définitive de l’agent à occuper ses fonctions. </w:t>
      </w:r>
    </w:p>
    <w:p w14:paraId="1CF8E484" w14:textId="7B458B63" w:rsidR="00F52339" w:rsidRDefault="00F52339" w:rsidP="00E924CD">
      <w:pPr>
        <w:pStyle w:val="Titre2"/>
        <w:ind w:left="0"/>
        <w:rPr>
          <w:rFonts w:ascii="Arial" w:hAnsi="Arial" w:cs="Arial"/>
          <w:sz w:val="22"/>
          <w:szCs w:val="22"/>
        </w:rPr>
      </w:pPr>
    </w:p>
    <w:p w14:paraId="360144FC" w14:textId="69C0404D" w:rsidR="00F52339" w:rsidRDefault="00F52339" w:rsidP="00E924CD">
      <w:pPr>
        <w:pStyle w:val="Titre2"/>
        <w:ind w:left="0"/>
        <w:rPr>
          <w:rFonts w:ascii="Arial" w:hAnsi="Arial" w:cs="Arial"/>
          <w:sz w:val="22"/>
          <w:szCs w:val="22"/>
        </w:rPr>
      </w:pPr>
    </w:p>
    <w:p w14:paraId="0F6FB220" w14:textId="4B113B88" w:rsidR="00F52339" w:rsidRDefault="00F52339" w:rsidP="00E924CD">
      <w:pPr>
        <w:pStyle w:val="Titre2"/>
        <w:ind w:left="0"/>
        <w:rPr>
          <w:rFonts w:ascii="Arial" w:hAnsi="Arial" w:cs="Arial"/>
          <w:sz w:val="22"/>
          <w:szCs w:val="22"/>
        </w:rPr>
      </w:pPr>
    </w:p>
    <w:p w14:paraId="6F25BC4D" w14:textId="15B5C565" w:rsidR="00F52339" w:rsidRDefault="00F52339" w:rsidP="00E924CD">
      <w:pPr>
        <w:pStyle w:val="Titre2"/>
        <w:ind w:left="0"/>
        <w:rPr>
          <w:rFonts w:ascii="Arial" w:hAnsi="Arial" w:cs="Arial"/>
          <w:sz w:val="22"/>
          <w:szCs w:val="22"/>
        </w:rPr>
      </w:pPr>
    </w:p>
    <w:p w14:paraId="79626B0F" w14:textId="4FB22791" w:rsidR="00F52339" w:rsidRDefault="00F52339" w:rsidP="00E924CD">
      <w:pPr>
        <w:pStyle w:val="Titre2"/>
        <w:ind w:left="0"/>
        <w:rPr>
          <w:rFonts w:ascii="Arial" w:hAnsi="Arial" w:cs="Arial"/>
          <w:sz w:val="22"/>
          <w:szCs w:val="22"/>
        </w:rPr>
      </w:pPr>
    </w:p>
    <w:p w14:paraId="00A4CF1B" w14:textId="77777777" w:rsidR="00F52339" w:rsidRDefault="00F52339" w:rsidP="00E924CD">
      <w:pPr>
        <w:pStyle w:val="Titre2"/>
        <w:ind w:left="0"/>
        <w:rPr>
          <w:rFonts w:ascii="Arial" w:hAnsi="Arial" w:cs="Arial"/>
          <w:sz w:val="22"/>
          <w:szCs w:val="22"/>
        </w:rPr>
      </w:pPr>
    </w:p>
    <w:p w14:paraId="2D010195" w14:textId="77777777" w:rsidR="0093352E" w:rsidRDefault="0093352E" w:rsidP="00E8404A">
      <w:pPr>
        <w:pStyle w:val="Titre2"/>
      </w:pPr>
    </w:p>
    <w:p w14:paraId="5B637263" w14:textId="07E15015" w:rsidR="009C505A" w:rsidRDefault="00E924CD" w:rsidP="00504475">
      <w:pPr>
        <w:pStyle w:val="Titre1"/>
        <w:numPr>
          <w:ilvl w:val="0"/>
          <w:numId w:val="2"/>
        </w:numPr>
      </w:pPr>
      <w:r>
        <w:t>La réglementation</w:t>
      </w:r>
    </w:p>
    <w:p w14:paraId="11283694" w14:textId="4E3A5D77" w:rsidR="009C505A" w:rsidRDefault="009C505A" w:rsidP="009C505A"/>
    <w:p w14:paraId="408362FB" w14:textId="77777777" w:rsidR="00142EB0" w:rsidRDefault="00142EB0" w:rsidP="00142EB0">
      <w:pPr>
        <w:tabs>
          <w:tab w:val="left" w:pos="1788"/>
        </w:tabs>
        <w:jc w:val="both"/>
        <w:rPr>
          <w:color w:val="000000" w:themeColor="text1"/>
        </w:rPr>
      </w:pPr>
    </w:p>
    <w:p w14:paraId="254975AB" w14:textId="77777777" w:rsidR="00FA7DB9" w:rsidRPr="00FA7DB9" w:rsidRDefault="00FA7DB9" w:rsidP="00FA7DB9">
      <w:pPr>
        <w:suppressAutoHyphens/>
        <w:spacing w:before="280" w:after="280"/>
        <w:jc w:val="both"/>
        <w:rPr>
          <w:rFonts w:eastAsia="Times New Roman"/>
          <w:b/>
          <w:lang w:eastAsia="zh-CN" w:bidi="hi-IN"/>
        </w:rPr>
      </w:pPr>
      <w:r w:rsidRPr="00FA7DB9">
        <w:rPr>
          <w:rFonts w:eastAsia="Wingdings"/>
          <w:b/>
          <w:lang w:eastAsia="zh-CN" w:bidi="hi-IN"/>
        </w:rPr>
        <w:sym w:font="Wingdings" w:char="F0D8"/>
      </w:r>
      <w:r w:rsidRPr="00FA7DB9">
        <w:rPr>
          <w:rFonts w:eastAsia="Wingdings"/>
          <w:b/>
          <w:lang w:eastAsia="zh-CN" w:bidi="hi-IN"/>
        </w:rPr>
        <w:t></w:t>
      </w:r>
      <w:r w:rsidRPr="00FA7DB9">
        <w:rPr>
          <w:rFonts w:eastAsia="Times New Roman"/>
          <w:b/>
          <w:lang w:eastAsia="zh-CN" w:bidi="hi-IN"/>
        </w:rPr>
        <w:t xml:space="preserve"> </w:t>
      </w:r>
      <w:r w:rsidRPr="00FA7DB9">
        <w:rPr>
          <w:rFonts w:eastAsia="Times New Roman"/>
          <w:b/>
          <w:u w:val="single"/>
          <w:lang w:eastAsia="zh-CN" w:bidi="hi-IN"/>
        </w:rPr>
        <w:t>L’agent est informé de ses droits à la PPR</w:t>
      </w:r>
      <w:r w:rsidRPr="00FA7DB9">
        <w:rPr>
          <w:rFonts w:eastAsia="Times New Roman"/>
          <w:b/>
          <w:lang w:eastAsia="zh-CN" w:bidi="hi-IN"/>
        </w:rPr>
        <w:t xml:space="preserve"> dès l’ouverture de la procédure par l’autorité territoriale dont il relève (saisine du Comité médical ou de la Commission de réforme).</w:t>
      </w:r>
    </w:p>
    <w:p w14:paraId="0E33F26C" w14:textId="77777777" w:rsidR="00FA7DB9" w:rsidRPr="00FA7DB9" w:rsidRDefault="00FA7DB9" w:rsidP="00FA7DB9">
      <w:pPr>
        <w:suppressAutoHyphens/>
        <w:spacing w:before="280" w:after="280"/>
        <w:jc w:val="both"/>
        <w:rPr>
          <w:rFonts w:eastAsia="Times New Roman"/>
          <w:b/>
          <w:lang w:eastAsia="zh-CN" w:bidi="hi-IN"/>
        </w:rPr>
      </w:pPr>
      <w:r w:rsidRPr="00FA7DB9">
        <w:rPr>
          <w:rFonts w:eastAsia="Wingdings"/>
          <w:b/>
          <w:lang w:eastAsia="zh-CN" w:bidi="hi-IN"/>
        </w:rPr>
        <w:sym w:font="Wingdings" w:char="F0D8"/>
      </w:r>
      <w:r w:rsidRPr="00FA7DB9">
        <w:rPr>
          <w:rFonts w:eastAsia="Wingdings"/>
          <w:b/>
          <w:lang w:eastAsia="zh-CN" w:bidi="hi-IN"/>
        </w:rPr>
        <w:t></w:t>
      </w:r>
      <w:r w:rsidRPr="00FA7DB9">
        <w:rPr>
          <w:rFonts w:eastAsia="Times New Roman"/>
          <w:b/>
          <w:u w:val="single"/>
          <w:lang w:eastAsia="zh-CN" w:bidi="hi-IN"/>
        </w:rPr>
        <w:t>L’autorité territoriale a l’obligation</w:t>
      </w:r>
      <w:r w:rsidRPr="00FA7DB9">
        <w:rPr>
          <w:rFonts w:eastAsia="Times New Roman"/>
          <w:b/>
          <w:lang w:eastAsia="zh-CN" w:bidi="hi-IN"/>
        </w:rPr>
        <w:t xml:space="preserve"> </w:t>
      </w:r>
      <w:r w:rsidRPr="00FA7DB9">
        <w:rPr>
          <w:rFonts w:eastAsia="Times New Roman"/>
          <w:lang w:eastAsia="zh-CN" w:bidi="hi-IN"/>
        </w:rPr>
        <w:t>de proposer une PPR à l’agent après</w:t>
      </w:r>
      <w:r w:rsidRPr="00FA7DB9">
        <w:rPr>
          <w:rFonts w:eastAsia="Times New Roman"/>
          <w:b/>
          <w:lang w:eastAsia="zh-CN" w:bidi="hi-IN"/>
        </w:rPr>
        <w:t xml:space="preserve"> </w:t>
      </w:r>
      <w:r w:rsidRPr="00FA7DB9">
        <w:rPr>
          <w:rFonts w:eastAsia="Times New Roman"/>
          <w:lang w:eastAsia="zh-CN" w:bidi="hi-IN"/>
        </w:rPr>
        <w:t>avis de l’instance médicale</w:t>
      </w:r>
      <w:r w:rsidRPr="00FA7DB9">
        <w:rPr>
          <w:rFonts w:eastAsia="Times New Roman"/>
          <w:b/>
          <w:lang w:eastAsia="zh-CN" w:bidi="hi-IN"/>
        </w:rPr>
        <w:t>.</w:t>
      </w:r>
    </w:p>
    <w:p w14:paraId="30207393" w14:textId="77777777" w:rsidR="00142EB0" w:rsidRDefault="00142EB0" w:rsidP="009C505A"/>
    <w:p w14:paraId="6CAD44EE" w14:textId="77777777" w:rsidR="00142EB0" w:rsidRDefault="00142EB0" w:rsidP="007402EF">
      <w:pPr>
        <w:pStyle w:val="Titre2"/>
      </w:pPr>
    </w:p>
    <w:p w14:paraId="48C3315F" w14:textId="77777777" w:rsidR="00F52339" w:rsidRDefault="00F52339">
      <w:pPr>
        <w:rPr>
          <w:b/>
          <w:color w:val="17479E"/>
          <w:sz w:val="50"/>
        </w:rPr>
      </w:pPr>
      <w:r>
        <w:br w:type="page"/>
      </w:r>
    </w:p>
    <w:p w14:paraId="53925399" w14:textId="7E3EC2C6" w:rsidR="00FA7DB9" w:rsidRDefault="00FA7DB9" w:rsidP="005B3E23">
      <w:pPr>
        <w:pStyle w:val="Titre1"/>
        <w:numPr>
          <w:ilvl w:val="0"/>
          <w:numId w:val="2"/>
        </w:numPr>
      </w:pPr>
      <w:r>
        <w:lastRenderedPageBreak/>
        <w:t>La procédure</w:t>
      </w:r>
    </w:p>
    <w:p w14:paraId="5F60FA7C" w14:textId="50F8A492" w:rsidR="009C505A" w:rsidRDefault="009C505A" w:rsidP="009C505A"/>
    <w:p w14:paraId="783669CB" w14:textId="5A858F26" w:rsidR="00C35352" w:rsidRDefault="00C35352" w:rsidP="00C35352"/>
    <w:p w14:paraId="50D18F21" w14:textId="32E381F6" w:rsidR="00C35352" w:rsidRDefault="005B3E23" w:rsidP="00BA4D42">
      <w:pPr>
        <w:pStyle w:val="Titre2"/>
        <w:numPr>
          <w:ilvl w:val="0"/>
          <w:numId w:val="16"/>
        </w:numPr>
      </w:pPr>
      <w:r>
        <w:t>Le début de la PPR :</w:t>
      </w:r>
    </w:p>
    <w:p w14:paraId="5CFD8BAA" w14:textId="77777777" w:rsidR="00136FE3" w:rsidRDefault="00136FE3" w:rsidP="00136FE3">
      <w:pPr>
        <w:pStyle w:val="Titre2"/>
        <w:ind w:left="595"/>
      </w:pPr>
    </w:p>
    <w:p w14:paraId="63CA1830" w14:textId="64CEC1B9" w:rsidR="00BA4D42" w:rsidRPr="00136FE3" w:rsidRDefault="00BA4D42" w:rsidP="00136FE3">
      <w:pPr>
        <w:pStyle w:val="Paragraphedeliste"/>
        <w:numPr>
          <w:ilvl w:val="0"/>
          <w:numId w:val="13"/>
        </w:numPr>
        <w:rPr>
          <w:rFonts w:eastAsia="Times New Roman"/>
          <w:b/>
          <w:lang w:eastAsia="zh-CN" w:bidi="hi-IN"/>
        </w:rPr>
      </w:pPr>
      <w:r w:rsidRPr="00136FE3">
        <w:rPr>
          <w:rFonts w:eastAsia="Times New Roman"/>
          <w:u w:val="single"/>
          <w:lang w:eastAsia="zh-CN" w:bidi="hi-IN"/>
        </w:rPr>
        <w:t>à  compter de l’avis</w:t>
      </w:r>
      <w:r w:rsidRPr="00136FE3">
        <w:rPr>
          <w:rFonts w:eastAsia="Times New Roman"/>
          <w:lang w:eastAsia="zh-CN" w:bidi="hi-IN"/>
        </w:rPr>
        <w:t xml:space="preserve"> de l’instance médicale si l’agent est en fonction,</w:t>
      </w:r>
    </w:p>
    <w:p w14:paraId="5B0ED2DC" w14:textId="77777777" w:rsidR="00BA4D42" w:rsidRPr="000178E8" w:rsidRDefault="00BA4D42" w:rsidP="00BA4D42">
      <w:pPr>
        <w:pStyle w:val="Paragraphedeliste"/>
        <w:numPr>
          <w:ilvl w:val="0"/>
          <w:numId w:val="13"/>
        </w:numPr>
        <w:suppressAutoHyphens/>
        <w:autoSpaceDE/>
        <w:autoSpaceDN/>
        <w:spacing w:before="280" w:after="280"/>
        <w:contextualSpacing/>
        <w:jc w:val="both"/>
        <w:rPr>
          <w:rFonts w:eastAsia="Times New Roman"/>
          <w:b/>
          <w:lang w:eastAsia="zh-CN" w:bidi="hi-IN"/>
        </w:rPr>
      </w:pPr>
      <w:r w:rsidRPr="000178E8">
        <w:rPr>
          <w:rFonts w:eastAsia="Times New Roman"/>
          <w:u w:val="single"/>
          <w:lang w:eastAsia="zh-CN" w:bidi="hi-IN"/>
        </w:rPr>
        <w:t>à compter de la reprise de fonction</w:t>
      </w:r>
      <w:r w:rsidRPr="000178E8">
        <w:rPr>
          <w:rFonts w:eastAsia="Times New Roman"/>
          <w:lang w:eastAsia="zh-CN" w:bidi="hi-IN"/>
        </w:rPr>
        <w:t xml:space="preserve"> si l’agent est en congé de maladie lors de la réception de l’avis de l’instance médicale.</w:t>
      </w:r>
    </w:p>
    <w:p w14:paraId="62BC3190" w14:textId="77777777" w:rsidR="00BA4D42" w:rsidRPr="000178E8" w:rsidRDefault="00BA4D42" w:rsidP="00BA4D42">
      <w:pPr>
        <w:suppressAutoHyphens/>
        <w:spacing w:before="280" w:after="280"/>
        <w:jc w:val="both"/>
        <w:rPr>
          <w:rFonts w:eastAsia="Times New Roman"/>
          <w:lang w:eastAsia="zh-CN" w:bidi="hi-IN"/>
        </w:rPr>
      </w:pPr>
      <w:r w:rsidRPr="000178E8">
        <w:rPr>
          <w:rFonts w:eastAsia="Times New Roman"/>
          <w:u w:val="single"/>
          <w:lang w:eastAsia="zh-CN" w:bidi="hi-IN"/>
        </w:rPr>
        <w:t>Remarque </w:t>
      </w:r>
      <w:r w:rsidRPr="000178E8">
        <w:rPr>
          <w:rFonts w:eastAsia="Times New Roman"/>
          <w:lang w:eastAsia="zh-CN" w:bidi="hi-IN"/>
        </w:rPr>
        <w:t>: l’agent dispose d’un délai raisonnable de 15 jours</w:t>
      </w:r>
      <w:r w:rsidRPr="000178E8">
        <w:rPr>
          <w:rFonts w:eastAsia="Times New Roman"/>
          <w:b/>
          <w:lang w:eastAsia="zh-CN" w:bidi="hi-IN"/>
        </w:rPr>
        <w:t xml:space="preserve"> </w:t>
      </w:r>
      <w:r w:rsidRPr="000178E8">
        <w:rPr>
          <w:rFonts w:eastAsia="Times New Roman"/>
          <w:lang w:eastAsia="zh-CN" w:bidi="hi-IN"/>
        </w:rPr>
        <w:t>pour faire part de son souhait de bénéficier de la PPR.</w:t>
      </w:r>
    </w:p>
    <w:p w14:paraId="68C653E0" w14:textId="77777777" w:rsidR="00BA4D42" w:rsidRPr="000178E8" w:rsidRDefault="00BA4D42" w:rsidP="00BA4D42">
      <w:pPr>
        <w:suppressAutoHyphens/>
        <w:spacing w:before="280" w:after="280"/>
        <w:jc w:val="both"/>
        <w:rPr>
          <w:rFonts w:eastAsia="Times New Roman"/>
          <w:lang w:eastAsia="zh-CN" w:bidi="hi-IN"/>
        </w:rPr>
      </w:pPr>
      <w:r w:rsidRPr="000178E8">
        <w:rPr>
          <w:rFonts w:eastAsia="Times New Roman"/>
          <w:u w:val="single"/>
          <w:lang w:eastAsia="zh-CN" w:bidi="hi-IN"/>
        </w:rPr>
        <w:t>3 possibilités</w:t>
      </w:r>
      <w:r w:rsidRPr="000178E8">
        <w:rPr>
          <w:rFonts w:eastAsia="Times New Roman"/>
          <w:lang w:eastAsia="zh-CN" w:bidi="hi-IN"/>
        </w:rPr>
        <w:t> :</w:t>
      </w:r>
    </w:p>
    <w:p w14:paraId="1B8CAE2A" w14:textId="77777777" w:rsidR="00BA4D42" w:rsidRPr="000178E8" w:rsidRDefault="00BA4D42" w:rsidP="00BA4D42">
      <w:pPr>
        <w:suppressAutoHyphens/>
        <w:spacing w:before="280" w:after="280"/>
        <w:jc w:val="both"/>
        <w:rPr>
          <w:rFonts w:eastAsia="Times New Roman"/>
          <w:lang w:eastAsia="zh-CN" w:bidi="hi-IN"/>
        </w:rPr>
      </w:pPr>
      <w:r w:rsidRPr="000178E8">
        <w:rPr>
          <w:rFonts w:eastAsia="Times New Roman"/>
          <w:b/>
          <w:lang w:eastAsia="zh-CN" w:bidi="hi-IN"/>
        </w:rPr>
        <w:t>1/ L’agent accepte la PPR </w:t>
      </w:r>
      <w:r w:rsidRPr="000178E8">
        <w:rPr>
          <w:rFonts w:eastAsia="Times New Roman"/>
          <w:lang w:eastAsia="zh-CN" w:bidi="hi-IN"/>
        </w:rPr>
        <w:sym w:font="Wingdings" w:char="F0F0"/>
      </w:r>
      <w:r w:rsidRPr="000178E8">
        <w:rPr>
          <w:rFonts w:eastAsia="Times New Roman"/>
          <w:lang w:eastAsia="zh-CN" w:bidi="hi-IN"/>
        </w:rPr>
        <w:t xml:space="preserve"> l’autorité territoriale établit un arrêté plaçant l’agent en situation de PPR.</w:t>
      </w:r>
    </w:p>
    <w:p w14:paraId="7F024969" w14:textId="77777777" w:rsidR="00BA4D42" w:rsidRPr="000178E8" w:rsidRDefault="00BA4D42" w:rsidP="00BA4D42">
      <w:pPr>
        <w:suppressAutoHyphens/>
        <w:spacing w:before="280" w:after="280"/>
        <w:jc w:val="both"/>
        <w:rPr>
          <w:rFonts w:eastAsia="Times New Roman"/>
          <w:lang w:eastAsia="zh-CN" w:bidi="hi-IN"/>
        </w:rPr>
      </w:pPr>
      <w:r w:rsidRPr="000178E8">
        <w:rPr>
          <w:rFonts w:eastAsia="Times New Roman"/>
          <w:b/>
          <w:lang w:eastAsia="zh-CN" w:bidi="hi-IN"/>
        </w:rPr>
        <w:t>2/ L’agent refuse expressément</w:t>
      </w:r>
      <w:r w:rsidRPr="000178E8">
        <w:rPr>
          <w:rFonts w:eastAsia="Times New Roman"/>
          <w:lang w:eastAsia="zh-CN" w:bidi="hi-IN"/>
        </w:rPr>
        <w:t xml:space="preserve"> de bénéficier de </w:t>
      </w:r>
      <w:r w:rsidRPr="000178E8">
        <w:rPr>
          <w:rFonts w:eastAsia="Times New Roman"/>
          <w:b/>
          <w:lang w:eastAsia="zh-CN" w:bidi="hi-IN"/>
        </w:rPr>
        <w:t>la PPR</w:t>
      </w:r>
      <w:r w:rsidRPr="000178E8">
        <w:rPr>
          <w:rFonts w:eastAsia="Times New Roman"/>
          <w:lang w:eastAsia="zh-CN" w:bidi="hi-IN"/>
        </w:rPr>
        <w:t xml:space="preserve"> </w:t>
      </w:r>
      <w:r w:rsidRPr="000178E8">
        <w:rPr>
          <w:rFonts w:eastAsia="Times New Roman"/>
          <w:b/>
          <w:lang w:eastAsia="zh-CN" w:bidi="hi-IN"/>
        </w:rPr>
        <w:t>ou ne se manifeste pas</w:t>
      </w:r>
      <w:r w:rsidRPr="000178E8">
        <w:rPr>
          <w:rFonts w:eastAsia="Times New Roman"/>
          <w:lang w:eastAsia="zh-CN" w:bidi="hi-IN"/>
        </w:rPr>
        <w:t xml:space="preserve"> dans le délai de 15 jours </w:t>
      </w:r>
      <w:r w:rsidRPr="000178E8">
        <w:rPr>
          <w:rFonts w:eastAsia="Times New Roman"/>
          <w:lang w:eastAsia="zh-CN" w:bidi="hi-IN"/>
        </w:rPr>
        <w:sym w:font="Wingdings" w:char="F0F0"/>
      </w:r>
      <w:r w:rsidRPr="000178E8">
        <w:rPr>
          <w:rFonts w:eastAsia="Times New Roman"/>
          <w:lang w:eastAsia="zh-CN" w:bidi="hi-IN"/>
        </w:rPr>
        <w:t xml:space="preserve"> il </w:t>
      </w:r>
      <w:r w:rsidRPr="000178E8">
        <w:rPr>
          <w:rFonts w:eastAsia="Times New Roman"/>
          <w:b/>
          <w:lang w:eastAsia="zh-CN" w:bidi="hi-IN"/>
        </w:rPr>
        <w:t xml:space="preserve">est invité à faire une </w:t>
      </w:r>
      <w:r w:rsidRPr="000178E8">
        <w:rPr>
          <w:rFonts w:eastAsia="Times New Roman"/>
          <w:b/>
          <w:u w:val="single"/>
          <w:lang w:eastAsia="zh-CN" w:bidi="hi-IN"/>
        </w:rPr>
        <w:t>demande de reclassement</w:t>
      </w:r>
      <w:r w:rsidRPr="000178E8">
        <w:rPr>
          <w:rFonts w:eastAsia="Times New Roman"/>
          <w:lang w:eastAsia="zh-CN" w:bidi="hi-IN"/>
        </w:rPr>
        <w:t xml:space="preserve"> dans un autre corps ou cadre d’emplois.</w:t>
      </w:r>
    </w:p>
    <w:p w14:paraId="15C73E47" w14:textId="77777777" w:rsidR="00BA4D42" w:rsidRPr="000178E8" w:rsidRDefault="00BA4D42" w:rsidP="00BA4D42">
      <w:pPr>
        <w:suppressAutoHyphens/>
        <w:jc w:val="both"/>
        <w:rPr>
          <w:rFonts w:eastAsia="Times New Roman"/>
          <w:b/>
          <w:lang w:eastAsia="zh-CN" w:bidi="hi-IN"/>
        </w:rPr>
      </w:pPr>
    </w:p>
    <w:p w14:paraId="17ACEA75" w14:textId="77777777" w:rsidR="00BA4D42" w:rsidRPr="000178E8" w:rsidRDefault="00BA4D42" w:rsidP="00BA4D42">
      <w:pPr>
        <w:suppressAutoHyphens/>
        <w:jc w:val="both"/>
        <w:rPr>
          <w:rFonts w:eastAsia="Times New Roman"/>
          <w:lang w:eastAsia="zh-CN" w:bidi="hi-IN"/>
        </w:rPr>
      </w:pPr>
      <w:r w:rsidRPr="000178E8">
        <w:rPr>
          <w:rFonts w:eastAsia="Times New Roman"/>
          <w:b/>
          <w:lang w:eastAsia="zh-CN" w:bidi="hi-IN"/>
        </w:rPr>
        <w:t>3/ L’agent ne présente pas de demande reclassement :</w:t>
      </w:r>
    </w:p>
    <w:p w14:paraId="5FAB5AFA" w14:textId="77777777" w:rsidR="00BA4D42" w:rsidRPr="000178E8" w:rsidRDefault="00BA4D42" w:rsidP="00BA4D42">
      <w:pPr>
        <w:suppressAutoHyphens/>
        <w:jc w:val="both"/>
        <w:rPr>
          <w:rFonts w:eastAsia="Times New Roman"/>
          <w:lang w:eastAsia="zh-CN" w:bidi="hi-IN"/>
        </w:rPr>
      </w:pPr>
      <w:r w:rsidRPr="000178E8">
        <w:rPr>
          <w:rFonts w:eastAsia="Times New Roman"/>
          <w:lang w:eastAsia="zh-CN" w:bidi="hi-IN"/>
        </w:rPr>
        <w:sym w:font="Wingdings" w:char="F0F0"/>
      </w:r>
      <w:r w:rsidRPr="000178E8">
        <w:rPr>
          <w:rFonts w:eastAsia="Times New Roman"/>
          <w:lang w:eastAsia="zh-CN" w:bidi="hi-IN"/>
        </w:rPr>
        <w:t xml:space="preserve"> Mise en place de la procédure de « licenciement pour inaptitude physique » pour les agents relevant du </w:t>
      </w:r>
      <w:r w:rsidRPr="000178E8">
        <w:rPr>
          <w:rFonts w:eastAsia="Times New Roman"/>
          <w:u w:val="single"/>
          <w:lang w:eastAsia="zh-CN" w:bidi="hi-IN"/>
        </w:rPr>
        <w:t>régime général</w:t>
      </w:r>
      <w:r w:rsidRPr="000178E8">
        <w:rPr>
          <w:rFonts w:eastAsia="Times New Roman"/>
          <w:lang w:eastAsia="zh-CN" w:bidi="hi-IN"/>
        </w:rPr>
        <w:t xml:space="preserve">. </w:t>
      </w:r>
    </w:p>
    <w:p w14:paraId="45069D8A" w14:textId="4BCE05CE" w:rsidR="00C35352" w:rsidRPr="000178E8" w:rsidRDefault="00BA4D42" w:rsidP="00BA4D42">
      <w:pPr>
        <w:rPr>
          <w:sz w:val="20"/>
          <w:szCs w:val="20"/>
        </w:rPr>
      </w:pPr>
      <w:r w:rsidRPr="000178E8">
        <w:rPr>
          <w:rFonts w:eastAsia="Times New Roman"/>
          <w:lang w:eastAsia="zh-CN" w:bidi="hi-IN"/>
        </w:rPr>
        <w:sym w:font="Wingdings" w:char="F0F0"/>
      </w:r>
      <w:r w:rsidRPr="000178E8">
        <w:rPr>
          <w:rFonts w:eastAsia="Times New Roman"/>
          <w:lang w:eastAsia="zh-CN" w:bidi="hi-IN"/>
        </w:rPr>
        <w:t xml:space="preserve"> Mise en « Retraite pour invalidité » pour les agents relevant du </w:t>
      </w:r>
      <w:r w:rsidRPr="000178E8">
        <w:rPr>
          <w:rFonts w:eastAsia="Times New Roman"/>
          <w:u w:val="single"/>
          <w:lang w:eastAsia="zh-CN" w:bidi="hi-IN"/>
        </w:rPr>
        <w:t xml:space="preserve">régime spécial </w:t>
      </w:r>
      <w:r w:rsidRPr="000178E8">
        <w:rPr>
          <w:rFonts w:eastAsia="Times New Roman"/>
          <w:lang w:eastAsia="zh-CN" w:bidi="hi-IN"/>
        </w:rPr>
        <w:t>si le dossier est validé par la CNRACL. A défaut, l’agent CNRACL est licencié pour inaptitude physique</w:t>
      </w:r>
    </w:p>
    <w:p w14:paraId="35C68A20" w14:textId="63456062" w:rsidR="007C35C2" w:rsidRDefault="007C35C2" w:rsidP="007C35C2">
      <w:pPr>
        <w:pStyle w:val="Titre2"/>
        <w:ind w:left="0"/>
      </w:pPr>
    </w:p>
    <w:p w14:paraId="6DB42334" w14:textId="3D20870B" w:rsidR="007C35C2" w:rsidRDefault="00F52339" w:rsidP="00F52339">
      <w:pPr>
        <w:pStyle w:val="Titre2"/>
        <w:numPr>
          <w:ilvl w:val="0"/>
          <w:numId w:val="16"/>
        </w:numPr>
      </w:pPr>
      <w:r>
        <w:t>Projet de convention :</w:t>
      </w:r>
    </w:p>
    <w:p w14:paraId="64522D6F" w14:textId="29152A78" w:rsidR="000178E8" w:rsidRPr="000178E8" w:rsidRDefault="000178E8" w:rsidP="000178E8">
      <w:pPr>
        <w:pStyle w:val="Titre2"/>
        <w:ind w:left="0"/>
        <w:rPr>
          <w:rFonts w:ascii="Arial" w:hAnsi="Arial" w:cs="Arial"/>
          <w:sz w:val="22"/>
          <w:szCs w:val="22"/>
        </w:rPr>
      </w:pPr>
    </w:p>
    <w:p w14:paraId="3FD6D746" w14:textId="77777777" w:rsidR="000178E8" w:rsidRPr="000178E8" w:rsidRDefault="000178E8" w:rsidP="000178E8">
      <w:pPr>
        <w:suppressAutoHyphens/>
        <w:jc w:val="both"/>
        <w:rPr>
          <w:rFonts w:eastAsia="Times New Roman"/>
          <w:lang w:eastAsia="zh-CN" w:bidi="hi-IN"/>
        </w:rPr>
      </w:pPr>
      <w:r w:rsidRPr="000178E8">
        <w:rPr>
          <w:rFonts w:eastAsia="Times New Roman"/>
          <w:lang w:eastAsia="zh-CN" w:bidi="hi-IN"/>
        </w:rPr>
        <w:t xml:space="preserve">Ce projet est établi sous la forme d’une </w:t>
      </w:r>
      <w:r w:rsidRPr="000178E8">
        <w:rPr>
          <w:rFonts w:eastAsia="Times New Roman"/>
          <w:b/>
          <w:lang w:eastAsia="zh-CN" w:bidi="hi-IN"/>
        </w:rPr>
        <w:t xml:space="preserve">convention tripartite </w:t>
      </w:r>
      <w:r w:rsidRPr="000178E8">
        <w:rPr>
          <w:rFonts w:eastAsia="Times New Roman"/>
          <w:lang w:eastAsia="zh-CN" w:bidi="hi-IN"/>
        </w:rPr>
        <w:t>(collectivité, agent, CDG ou CNFPT) qui définit le contenu, les modalités de mise en œuvre (formation, observation, mise en situation) et en fixe la durée :</w:t>
      </w:r>
    </w:p>
    <w:p w14:paraId="300D6D06" w14:textId="77777777" w:rsidR="000178E8" w:rsidRPr="000178E8" w:rsidRDefault="000178E8" w:rsidP="000178E8">
      <w:pPr>
        <w:suppressAutoHyphens/>
        <w:jc w:val="both"/>
        <w:rPr>
          <w:rFonts w:eastAsia="Times New Roman"/>
          <w:lang w:eastAsia="zh-CN" w:bidi="hi-IN"/>
        </w:rPr>
      </w:pPr>
      <w:r w:rsidRPr="000178E8">
        <w:rPr>
          <w:rFonts w:eastAsia="Times New Roman"/>
          <w:b/>
          <w:lang w:eastAsia="zh-CN" w:bidi="hi-IN"/>
        </w:rPr>
        <w:sym w:font="Wingdings" w:char="F0D8"/>
      </w:r>
      <w:r w:rsidRPr="000178E8">
        <w:rPr>
          <w:rFonts w:eastAsia="Times New Roman"/>
          <w:b/>
          <w:lang w:eastAsia="zh-CN" w:bidi="hi-IN"/>
        </w:rPr>
        <w:t xml:space="preserve"> </w:t>
      </w:r>
      <w:r w:rsidRPr="000178E8">
        <w:rPr>
          <w:rFonts w:eastAsia="Times New Roman"/>
          <w:b/>
          <w:u w:val="single"/>
          <w:lang w:eastAsia="zh-CN" w:bidi="hi-IN"/>
        </w:rPr>
        <w:t>notifiée</w:t>
      </w:r>
      <w:r w:rsidRPr="000178E8">
        <w:rPr>
          <w:rFonts w:eastAsia="Times New Roman"/>
          <w:lang w:eastAsia="zh-CN" w:bidi="hi-IN"/>
        </w:rPr>
        <w:t xml:space="preserve"> à l’agent au plus tard </w:t>
      </w:r>
      <w:r w:rsidRPr="000178E8">
        <w:rPr>
          <w:rFonts w:eastAsia="Times New Roman"/>
          <w:b/>
          <w:lang w:eastAsia="zh-CN" w:bidi="hi-IN"/>
        </w:rPr>
        <w:t>dans les 2 mois</w:t>
      </w:r>
      <w:r w:rsidRPr="000178E8">
        <w:rPr>
          <w:rFonts w:eastAsia="Times New Roman"/>
          <w:lang w:eastAsia="zh-CN" w:bidi="hi-IN"/>
        </w:rPr>
        <w:t xml:space="preserve"> suivant le point de départ de la PPR,</w:t>
      </w:r>
    </w:p>
    <w:p w14:paraId="0E1C5BCB" w14:textId="77777777" w:rsidR="000178E8" w:rsidRPr="000178E8" w:rsidRDefault="000178E8" w:rsidP="000178E8">
      <w:pPr>
        <w:suppressAutoHyphens/>
        <w:jc w:val="both"/>
        <w:rPr>
          <w:rFonts w:eastAsia="Times New Roman"/>
          <w:b/>
          <w:lang w:eastAsia="zh-CN" w:bidi="hi-IN"/>
        </w:rPr>
      </w:pPr>
      <w:r w:rsidRPr="000178E8">
        <w:rPr>
          <w:rFonts w:eastAsia="Times New Roman"/>
          <w:b/>
          <w:lang w:eastAsia="zh-CN" w:bidi="hi-IN"/>
        </w:rPr>
        <w:sym w:font="Wingdings" w:char="F0D8"/>
      </w:r>
      <w:r w:rsidRPr="000178E8">
        <w:rPr>
          <w:rFonts w:eastAsia="Times New Roman"/>
          <w:b/>
          <w:lang w:eastAsia="zh-CN" w:bidi="hi-IN"/>
        </w:rPr>
        <w:t xml:space="preserve"> </w:t>
      </w:r>
      <w:r w:rsidRPr="000178E8">
        <w:rPr>
          <w:rFonts w:eastAsia="Times New Roman"/>
          <w:b/>
          <w:u w:val="single"/>
          <w:lang w:eastAsia="zh-CN" w:bidi="hi-IN"/>
        </w:rPr>
        <w:t>signée</w:t>
      </w:r>
      <w:r w:rsidRPr="000178E8">
        <w:rPr>
          <w:rFonts w:eastAsia="Times New Roman"/>
          <w:lang w:eastAsia="zh-CN" w:bidi="hi-IN"/>
        </w:rPr>
        <w:t xml:space="preserve"> par l’agent au plus tard </w:t>
      </w:r>
      <w:r w:rsidRPr="000178E8">
        <w:rPr>
          <w:rFonts w:eastAsia="Times New Roman"/>
          <w:b/>
          <w:u w:val="single"/>
          <w:lang w:eastAsia="zh-CN" w:bidi="hi-IN"/>
        </w:rPr>
        <w:t>dans les 15 jours</w:t>
      </w:r>
      <w:r w:rsidRPr="000178E8">
        <w:rPr>
          <w:rFonts w:eastAsia="Times New Roman"/>
          <w:lang w:eastAsia="zh-CN" w:bidi="hi-IN"/>
        </w:rPr>
        <w:t xml:space="preserve"> suivant la notification </w:t>
      </w:r>
      <w:r w:rsidRPr="000178E8">
        <w:rPr>
          <w:rFonts w:eastAsia="Times New Roman"/>
          <w:b/>
          <w:lang w:eastAsia="zh-CN" w:bidi="hi-IN"/>
        </w:rPr>
        <w:t>(= acceptation de la PPR).</w:t>
      </w:r>
    </w:p>
    <w:p w14:paraId="70FA41B3" w14:textId="77777777" w:rsidR="000178E8" w:rsidRPr="000178E8" w:rsidRDefault="000178E8" w:rsidP="000178E8">
      <w:pPr>
        <w:suppressAutoHyphens/>
        <w:jc w:val="both"/>
        <w:rPr>
          <w:rFonts w:eastAsia="Times New Roman"/>
          <w:b/>
          <w:lang w:eastAsia="zh-CN" w:bidi="hi-IN"/>
        </w:rPr>
      </w:pPr>
      <w:r w:rsidRPr="000178E8">
        <w:rPr>
          <w:rFonts w:eastAsia="Times New Roman"/>
          <w:b/>
          <w:lang w:eastAsia="zh-CN" w:bidi="hi-IN"/>
        </w:rPr>
        <w:sym w:font="Wingdings" w:char="F0D8"/>
      </w:r>
      <w:r w:rsidRPr="000178E8">
        <w:rPr>
          <w:rFonts w:eastAsia="Times New Roman"/>
          <w:b/>
          <w:lang w:eastAsia="zh-CN" w:bidi="hi-IN"/>
        </w:rPr>
        <w:t xml:space="preserve"> </w:t>
      </w:r>
      <w:r w:rsidRPr="000178E8">
        <w:rPr>
          <w:rFonts w:eastAsia="Times New Roman"/>
          <w:b/>
          <w:u w:val="single"/>
          <w:lang w:eastAsia="zh-CN" w:bidi="hi-IN"/>
        </w:rPr>
        <w:t>non signée</w:t>
      </w:r>
      <w:r w:rsidRPr="000178E8">
        <w:rPr>
          <w:rFonts w:eastAsia="Times New Roman"/>
          <w:lang w:eastAsia="zh-CN" w:bidi="hi-IN"/>
        </w:rPr>
        <w:t xml:space="preserve"> par l’agent au plus tard </w:t>
      </w:r>
      <w:r w:rsidRPr="000178E8">
        <w:rPr>
          <w:rFonts w:eastAsia="Times New Roman"/>
          <w:b/>
          <w:u w:val="single"/>
          <w:lang w:eastAsia="zh-CN" w:bidi="hi-IN"/>
        </w:rPr>
        <w:t>dans les 15 jours</w:t>
      </w:r>
      <w:r w:rsidRPr="000178E8">
        <w:rPr>
          <w:rFonts w:eastAsia="Times New Roman"/>
          <w:lang w:eastAsia="zh-CN" w:bidi="hi-IN"/>
        </w:rPr>
        <w:t xml:space="preserve"> suivant la notification </w:t>
      </w:r>
      <w:r w:rsidRPr="000178E8">
        <w:rPr>
          <w:rFonts w:eastAsia="Times New Roman"/>
          <w:b/>
          <w:lang w:eastAsia="zh-CN" w:bidi="hi-IN"/>
        </w:rPr>
        <w:t>(= refus de la PPR).</w:t>
      </w:r>
    </w:p>
    <w:p w14:paraId="28AF3159" w14:textId="6404E7F7" w:rsidR="000178E8" w:rsidRDefault="000178E8" w:rsidP="000178E8">
      <w:pPr>
        <w:pStyle w:val="Titre2"/>
        <w:ind w:left="0"/>
      </w:pPr>
    </w:p>
    <w:p w14:paraId="2B43D742" w14:textId="5A2B17E9" w:rsidR="000178E8" w:rsidRDefault="000178E8" w:rsidP="000178E8">
      <w:pPr>
        <w:pStyle w:val="Titre2"/>
        <w:numPr>
          <w:ilvl w:val="0"/>
          <w:numId w:val="16"/>
        </w:numPr>
      </w:pPr>
      <w:r>
        <w:t>Durée de la PPR</w:t>
      </w:r>
    </w:p>
    <w:p w14:paraId="4241204F" w14:textId="5781484C" w:rsidR="000178E8" w:rsidRDefault="000178E8" w:rsidP="000178E8">
      <w:pPr>
        <w:pStyle w:val="Titre2"/>
        <w:ind w:left="0"/>
      </w:pPr>
    </w:p>
    <w:p w14:paraId="51036EB5" w14:textId="77777777" w:rsidR="00DD2A4F" w:rsidRPr="00DD2A4F" w:rsidRDefault="00DD2A4F" w:rsidP="00DD2A4F">
      <w:pPr>
        <w:suppressAutoHyphens/>
        <w:jc w:val="both"/>
        <w:rPr>
          <w:rFonts w:eastAsia="Times New Roman"/>
          <w:lang w:eastAsia="zh-CN" w:bidi="hi-IN"/>
        </w:rPr>
      </w:pPr>
      <w:r w:rsidRPr="00DD2A4F">
        <w:rPr>
          <w:rFonts w:eastAsia="Times New Roman"/>
          <w:b/>
          <w:lang w:eastAsia="zh-CN" w:bidi="hi-IN"/>
        </w:rPr>
        <w:sym w:font="Wingdings" w:char="F0D8"/>
      </w:r>
      <w:r w:rsidRPr="00DD2A4F">
        <w:rPr>
          <w:rFonts w:eastAsia="Times New Roman"/>
          <w:b/>
          <w:lang w:eastAsia="zh-CN" w:bidi="hi-IN"/>
        </w:rPr>
        <w:t xml:space="preserve">1 an maximum </w:t>
      </w:r>
      <w:r w:rsidRPr="00DD2A4F">
        <w:rPr>
          <w:rFonts w:eastAsia="Times New Roman"/>
          <w:lang w:eastAsia="zh-CN" w:bidi="hi-IN"/>
        </w:rPr>
        <w:t>à/c de la date de départ (+ 3 mois si l’agent a fait une demande de reclassement)</w:t>
      </w:r>
    </w:p>
    <w:p w14:paraId="019327FF" w14:textId="77777777" w:rsidR="000178E8" w:rsidRDefault="000178E8" w:rsidP="000178E8">
      <w:pPr>
        <w:pStyle w:val="Titre2"/>
        <w:ind w:left="0"/>
      </w:pPr>
    </w:p>
    <w:p w14:paraId="43BAE42C" w14:textId="2C2FC756" w:rsidR="000178E8" w:rsidRDefault="000178E8" w:rsidP="000178E8">
      <w:pPr>
        <w:pStyle w:val="Titre2"/>
        <w:numPr>
          <w:ilvl w:val="0"/>
          <w:numId w:val="16"/>
        </w:numPr>
      </w:pPr>
      <w:r>
        <w:t>Fin de la PPR</w:t>
      </w:r>
    </w:p>
    <w:p w14:paraId="3FFEF400" w14:textId="77777777" w:rsidR="00136FE3" w:rsidRDefault="00136FE3" w:rsidP="00136FE3">
      <w:pPr>
        <w:pStyle w:val="Titre2"/>
        <w:ind w:left="595"/>
      </w:pPr>
    </w:p>
    <w:p w14:paraId="2AFC9172" w14:textId="77777777" w:rsidR="00136FE3" w:rsidRPr="00136FE3" w:rsidRDefault="00136FE3" w:rsidP="00136FE3">
      <w:pPr>
        <w:suppressAutoHyphens/>
        <w:jc w:val="both"/>
        <w:rPr>
          <w:rFonts w:eastAsia="Times New Roman"/>
          <w:lang w:eastAsia="zh-CN" w:bidi="hi-IN"/>
        </w:rPr>
      </w:pPr>
      <w:r w:rsidRPr="00136FE3">
        <w:rPr>
          <w:rFonts w:eastAsia="Times New Roman"/>
          <w:b/>
          <w:lang w:eastAsia="zh-CN" w:bidi="hi-IN"/>
        </w:rPr>
        <w:sym w:font="Wingdings" w:char="F0D8"/>
      </w:r>
      <w:r w:rsidRPr="00136FE3">
        <w:rPr>
          <w:rFonts w:eastAsia="Times New Roman"/>
          <w:lang w:eastAsia="zh-CN" w:bidi="hi-IN"/>
        </w:rPr>
        <w:t>A la date de reclassement de l’agent.</w:t>
      </w:r>
    </w:p>
    <w:p w14:paraId="36649C41" w14:textId="77777777" w:rsidR="00136FE3" w:rsidRPr="00136FE3" w:rsidRDefault="00136FE3" w:rsidP="00136FE3">
      <w:pPr>
        <w:suppressAutoHyphens/>
        <w:jc w:val="both"/>
        <w:rPr>
          <w:rFonts w:eastAsia="Times New Roman"/>
          <w:lang w:eastAsia="zh-CN" w:bidi="hi-IN"/>
        </w:rPr>
      </w:pPr>
      <w:r w:rsidRPr="00136FE3">
        <w:rPr>
          <w:rFonts w:eastAsia="Times New Roman"/>
          <w:b/>
          <w:lang w:eastAsia="zh-CN" w:bidi="hi-IN"/>
        </w:rPr>
        <w:sym w:font="Wingdings" w:char="F0D8"/>
      </w:r>
      <w:r w:rsidRPr="00136FE3">
        <w:rPr>
          <w:rFonts w:eastAsia="Times New Roman"/>
          <w:lang w:eastAsia="zh-CN" w:bidi="hi-IN"/>
        </w:rPr>
        <w:t>Si l’agent refuse de signer la convention,</w:t>
      </w:r>
    </w:p>
    <w:p w14:paraId="47B0003E" w14:textId="377BB8E7" w:rsidR="00136FE3" w:rsidRDefault="00136FE3" w:rsidP="00136FE3">
      <w:pPr>
        <w:suppressAutoHyphens/>
        <w:jc w:val="both"/>
        <w:rPr>
          <w:rFonts w:eastAsia="Times New Roman"/>
          <w:lang w:eastAsia="zh-CN" w:bidi="hi-IN"/>
        </w:rPr>
      </w:pPr>
      <w:r w:rsidRPr="00136FE3">
        <w:rPr>
          <w:rFonts w:eastAsia="Times New Roman"/>
          <w:b/>
          <w:lang w:eastAsia="zh-CN" w:bidi="hi-IN"/>
        </w:rPr>
        <w:sym w:font="Wingdings" w:char="F0D8"/>
      </w:r>
      <w:r w:rsidRPr="00136FE3">
        <w:rPr>
          <w:rFonts w:eastAsia="Times New Roman"/>
          <w:lang w:eastAsia="zh-CN" w:bidi="hi-IN"/>
        </w:rPr>
        <w:t>Si manquements caractérisés au respect des termes de la convention = fin anticipée. (l’agent doit alors présenter une demande de reclassement,</w:t>
      </w:r>
    </w:p>
    <w:p w14:paraId="20714AD0" w14:textId="354FDFAF" w:rsidR="00136FE3" w:rsidRDefault="00136FE3" w:rsidP="00136FE3">
      <w:pPr>
        <w:suppressAutoHyphens/>
        <w:jc w:val="both"/>
        <w:rPr>
          <w:rFonts w:eastAsia="Times New Roman"/>
          <w:lang w:eastAsia="zh-CN" w:bidi="hi-IN"/>
        </w:rPr>
      </w:pPr>
    </w:p>
    <w:p w14:paraId="54451969" w14:textId="1DCAE79E" w:rsidR="00136FE3" w:rsidRDefault="00136FE3" w:rsidP="0074451D">
      <w:pPr>
        <w:pStyle w:val="Titre1"/>
        <w:numPr>
          <w:ilvl w:val="0"/>
          <w:numId w:val="2"/>
        </w:numPr>
        <w:rPr>
          <w:lang w:eastAsia="zh-CN" w:bidi="hi-IN"/>
        </w:rPr>
      </w:pPr>
      <w:r>
        <w:rPr>
          <w:lang w:eastAsia="zh-CN" w:bidi="hi-IN"/>
        </w:rPr>
        <w:lastRenderedPageBreak/>
        <w:t>Les incidences statutaires</w:t>
      </w:r>
    </w:p>
    <w:p w14:paraId="4AE71212" w14:textId="1DAD1B67" w:rsidR="00136FE3" w:rsidRDefault="00136FE3" w:rsidP="00136FE3">
      <w:pPr>
        <w:suppressAutoHyphens/>
        <w:jc w:val="both"/>
        <w:rPr>
          <w:rFonts w:eastAsia="Times New Roman"/>
          <w:lang w:eastAsia="zh-CN" w:bidi="hi-IN"/>
        </w:rPr>
      </w:pPr>
    </w:p>
    <w:p w14:paraId="1500F040" w14:textId="600D72B5" w:rsidR="00136FE3" w:rsidRDefault="00136FE3" w:rsidP="00136FE3">
      <w:pPr>
        <w:suppressAutoHyphens/>
        <w:jc w:val="both"/>
        <w:rPr>
          <w:rFonts w:eastAsia="Times New Roman"/>
          <w:lang w:eastAsia="zh-CN" w:bidi="hi-IN"/>
        </w:rPr>
      </w:pPr>
    </w:p>
    <w:p w14:paraId="602EBC2F" w14:textId="77777777" w:rsidR="0074451D" w:rsidRPr="0074451D" w:rsidRDefault="0074451D" w:rsidP="0074451D">
      <w:pPr>
        <w:pStyle w:val="Paragraphedeliste"/>
        <w:numPr>
          <w:ilvl w:val="0"/>
          <w:numId w:val="13"/>
        </w:numPr>
        <w:suppressAutoHyphens/>
        <w:autoSpaceDE/>
        <w:autoSpaceDN/>
        <w:spacing w:before="280" w:after="280"/>
        <w:contextualSpacing/>
        <w:jc w:val="both"/>
        <w:rPr>
          <w:rFonts w:eastAsia="Times New Roman"/>
          <w:lang w:eastAsia="zh-CN" w:bidi="hi-IN"/>
        </w:rPr>
      </w:pPr>
      <w:r w:rsidRPr="0074451D">
        <w:rPr>
          <w:rFonts w:eastAsia="Times New Roman"/>
          <w:lang w:eastAsia="zh-CN" w:bidi="hi-IN"/>
        </w:rPr>
        <w:t>l’agent est en position d’activité,</w:t>
      </w:r>
    </w:p>
    <w:p w14:paraId="7BF637BA" w14:textId="77777777" w:rsidR="0074451D" w:rsidRPr="0074451D" w:rsidRDefault="0074451D" w:rsidP="0074451D">
      <w:pPr>
        <w:pStyle w:val="Paragraphedeliste"/>
        <w:numPr>
          <w:ilvl w:val="0"/>
          <w:numId w:val="13"/>
        </w:numPr>
        <w:suppressAutoHyphens/>
        <w:autoSpaceDE/>
        <w:autoSpaceDN/>
        <w:spacing w:before="280" w:after="280"/>
        <w:contextualSpacing/>
        <w:jc w:val="both"/>
        <w:rPr>
          <w:rFonts w:eastAsia="Times New Roman"/>
          <w:lang w:eastAsia="zh-CN" w:bidi="hi-IN"/>
        </w:rPr>
      </w:pPr>
      <w:r w:rsidRPr="0074451D">
        <w:rPr>
          <w:rFonts w:eastAsia="Times New Roman"/>
          <w:lang w:eastAsia="zh-CN" w:bidi="hi-IN"/>
        </w:rPr>
        <w:t xml:space="preserve">l’agent conserve sa rémunération correspondant à son cadre d’emplois d’origine (traitement indiciaire brut, supplément familial de traitement, indemnité de résidence), </w:t>
      </w:r>
      <w:r w:rsidRPr="0074451D">
        <w:rPr>
          <w:rFonts w:eastAsia="Times New Roman"/>
          <w:i/>
          <w:u w:val="single"/>
          <w:lang w:eastAsia="zh-CN" w:bidi="hi-IN"/>
        </w:rPr>
        <w:t>A noter</w:t>
      </w:r>
      <w:r w:rsidRPr="0074451D">
        <w:rPr>
          <w:rFonts w:eastAsia="Times New Roman"/>
          <w:lang w:eastAsia="zh-CN" w:bidi="hi-IN"/>
        </w:rPr>
        <w:t> : le régime indemnitaire est maintenu sous réserve de délibération prise par l’autorité territoriale. La NBI est suspendue car celle-ci est liée à l’exercice des fonctions de l’agent.</w:t>
      </w:r>
    </w:p>
    <w:p w14:paraId="2FC4E6EA" w14:textId="77777777" w:rsidR="0074451D" w:rsidRPr="0074451D" w:rsidRDefault="0074451D" w:rsidP="0074451D">
      <w:pPr>
        <w:pStyle w:val="Paragraphedeliste"/>
        <w:numPr>
          <w:ilvl w:val="0"/>
          <w:numId w:val="13"/>
        </w:numPr>
        <w:suppressAutoHyphens/>
        <w:autoSpaceDE/>
        <w:autoSpaceDN/>
        <w:spacing w:before="280" w:after="280"/>
        <w:contextualSpacing/>
        <w:jc w:val="both"/>
        <w:rPr>
          <w:rFonts w:eastAsia="Times New Roman"/>
          <w:lang w:eastAsia="zh-CN" w:bidi="hi-IN"/>
        </w:rPr>
      </w:pPr>
      <w:r w:rsidRPr="0074451D">
        <w:rPr>
          <w:rFonts w:eastAsia="Times New Roman"/>
          <w:lang w:eastAsia="zh-CN" w:bidi="hi-IN"/>
        </w:rPr>
        <w:t>l’agent bénéficie de son droit à déroulement de carrière dans son cadre d’emplois d’origine (avancement d’échelon, de grade, cotisations retraite).</w:t>
      </w:r>
    </w:p>
    <w:p w14:paraId="2FDB5ABA" w14:textId="21429C7A" w:rsidR="0074451D" w:rsidRDefault="0074451D" w:rsidP="0074451D">
      <w:pPr>
        <w:pStyle w:val="Paragraphedeliste"/>
        <w:numPr>
          <w:ilvl w:val="0"/>
          <w:numId w:val="13"/>
        </w:numPr>
        <w:suppressAutoHyphens/>
        <w:autoSpaceDE/>
        <w:autoSpaceDN/>
        <w:spacing w:before="280" w:after="280"/>
        <w:contextualSpacing/>
        <w:jc w:val="both"/>
        <w:rPr>
          <w:rFonts w:eastAsia="Times New Roman"/>
          <w:lang w:eastAsia="zh-CN" w:bidi="hi-IN"/>
        </w:rPr>
      </w:pPr>
      <w:r w:rsidRPr="0074451D">
        <w:rPr>
          <w:rFonts w:eastAsia="Times New Roman"/>
          <w:lang w:eastAsia="zh-CN" w:bidi="hi-IN"/>
        </w:rPr>
        <w:t xml:space="preserve">l’agent bénéficie de congés (maladie, annuels, maternité ou paternité…) </w:t>
      </w:r>
    </w:p>
    <w:p w14:paraId="1379BE5A" w14:textId="77777777" w:rsidR="0074451D" w:rsidRPr="0074451D" w:rsidRDefault="0074451D" w:rsidP="0074451D">
      <w:pPr>
        <w:pStyle w:val="Paragraphedeliste"/>
        <w:suppressAutoHyphens/>
        <w:autoSpaceDE/>
        <w:autoSpaceDN/>
        <w:spacing w:before="280" w:after="280"/>
        <w:ind w:left="720"/>
        <w:contextualSpacing/>
        <w:jc w:val="both"/>
        <w:rPr>
          <w:rFonts w:eastAsia="Times New Roman"/>
          <w:lang w:eastAsia="zh-CN" w:bidi="hi-IN"/>
        </w:rPr>
      </w:pPr>
    </w:p>
    <w:p w14:paraId="0D34627F" w14:textId="77777777" w:rsidR="0074451D" w:rsidRPr="0074451D" w:rsidRDefault="0074451D" w:rsidP="0074451D">
      <w:pPr>
        <w:pStyle w:val="Paragraphedeliste"/>
        <w:suppressAutoHyphens/>
        <w:spacing w:before="280" w:after="280"/>
        <w:jc w:val="both"/>
        <w:rPr>
          <w:rFonts w:eastAsia="Times New Roman"/>
          <w:lang w:eastAsia="zh-CN" w:bidi="hi-IN"/>
        </w:rPr>
      </w:pPr>
      <w:r w:rsidRPr="0074451D">
        <w:rPr>
          <w:rFonts w:eastAsia="Times New Roman"/>
          <w:i/>
          <w:u w:val="single"/>
          <w:lang w:eastAsia="zh-CN" w:bidi="hi-IN"/>
        </w:rPr>
        <w:t>A noter</w:t>
      </w:r>
      <w:r w:rsidRPr="0074451D">
        <w:rPr>
          <w:rFonts w:eastAsia="Times New Roman"/>
          <w:lang w:eastAsia="zh-CN" w:bidi="hi-IN"/>
        </w:rPr>
        <w:t> : les différents congés ne suspendent pas la PPR.</w:t>
      </w:r>
    </w:p>
    <w:p w14:paraId="7EF67114" w14:textId="77777777" w:rsidR="00136FE3" w:rsidRPr="00136FE3" w:rsidRDefault="00136FE3" w:rsidP="00136FE3">
      <w:pPr>
        <w:suppressAutoHyphens/>
        <w:jc w:val="both"/>
        <w:rPr>
          <w:rFonts w:eastAsia="Times New Roman"/>
          <w:lang w:eastAsia="zh-CN" w:bidi="hi-IN"/>
        </w:rPr>
      </w:pPr>
    </w:p>
    <w:sectPr w:rsidR="00136FE3" w:rsidRPr="00136FE3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111C6858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BC5C7D">
      <w:rPr>
        <w:b/>
        <w:bCs/>
        <w:i/>
        <w:iCs/>
      </w:rPr>
      <w:t>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ACA"/>
    <w:multiLevelType w:val="hybridMultilevel"/>
    <w:tmpl w:val="FAD66C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2577"/>
    <w:multiLevelType w:val="hybridMultilevel"/>
    <w:tmpl w:val="E6B8B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4C88"/>
    <w:multiLevelType w:val="hybridMultilevel"/>
    <w:tmpl w:val="A3C0954A"/>
    <w:lvl w:ilvl="0" w:tplc="91887A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5085"/>
    <w:multiLevelType w:val="hybridMultilevel"/>
    <w:tmpl w:val="59E05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2B25"/>
    <w:multiLevelType w:val="hybridMultilevel"/>
    <w:tmpl w:val="B4301C0C"/>
    <w:lvl w:ilvl="0" w:tplc="EE606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352B"/>
    <w:multiLevelType w:val="multilevel"/>
    <w:tmpl w:val="079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82C6C"/>
    <w:multiLevelType w:val="hybridMultilevel"/>
    <w:tmpl w:val="2CECB6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40DB"/>
    <w:multiLevelType w:val="hybridMultilevel"/>
    <w:tmpl w:val="B3EAA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976"/>
    <w:multiLevelType w:val="hybridMultilevel"/>
    <w:tmpl w:val="B4743966"/>
    <w:lvl w:ilvl="0" w:tplc="274E4050">
      <w:start w:val="1"/>
      <w:numFmt w:val="decimal"/>
      <w:lvlText w:val="%1)"/>
      <w:lvlJc w:val="left"/>
      <w:pPr>
        <w:ind w:left="5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5" w:hanging="360"/>
      </w:pPr>
    </w:lvl>
    <w:lvl w:ilvl="2" w:tplc="040C001B" w:tentative="1">
      <w:start w:val="1"/>
      <w:numFmt w:val="lowerRoman"/>
      <w:lvlText w:val="%3."/>
      <w:lvlJc w:val="right"/>
      <w:pPr>
        <w:ind w:left="2035" w:hanging="180"/>
      </w:pPr>
    </w:lvl>
    <w:lvl w:ilvl="3" w:tplc="040C000F" w:tentative="1">
      <w:start w:val="1"/>
      <w:numFmt w:val="decimal"/>
      <w:lvlText w:val="%4."/>
      <w:lvlJc w:val="left"/>
      <w:pPr>
        <w:ind w:left="2755" w:hanging="360"/>
      </w:pPr>
    </w:lvl>
    <w:lvl w:ilvl="4" w:tplc="040C0019" w:tentative="1">
      <w:start w:val="1"/>
      <w:numFmt w:val="lowerLetter"/>
      <w:lvlText w:val="%5."/>
      <w:lvlJc w:val="left"/>
      <w:pPr>
        <w:ind w:left="3475" w:hanging="360"/>
      </w:pPr>
    </w:lvl>
    <w:lvl w:ilvl="5" w:tplc="040C001B" w:tentative="1">
      <w:start w:val="1"/>
      <w:numFmt w:val="lowerRoman"/>
      <w:lvlText w:val="%6."/>
      <w:lvlJc w:val="right"/>
      <w:pPr>
        <w:ind w:left="4195" w:hanging="180"/>
      </w:pPr>
    </w:lvl>
    <w:lvl w:ilvl="6" w:tplc="040C000F" w:tentative="1">
      <w:start w:val="1"/>
      <w:numFmt w:val="decimal"/>
      <w:lvlText w:val="%7."/>
      <w:lvlJc w:val="left"/>
      <w:pPr>
        <w:ind w:left="4915" w:hanging="360"/>
      </w:pPr>
    </w:lvl>
    <w:lvl w:ilvl="7" w:tplc="040C0019" w:tentative="1">
      <w:start w:val="1"/>
      <w:numFmt w:val="lowerLetter"/>
      <w:lvlText w:val="%8."/>
      <w:lvlJc w:val="left"/>
      <w:pPr>
        <w:ind w:left="5635" w:hanging="360"/>
      </w:pPr>
    </w:lvl>
    <w:lvl w:ilvl="8" w:tplc="040C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2E0E1D33"/>
    <w:multiLevelType w:val="hybridMultilevel"/>
    <w:tmpl w:val="1758D1DE"/>
    <w:lvl w:ilvl="0" w:tplc="E98AEC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E7BBB"/>
    <w:multiLevelType w:val="hybridMultilevel"/>
    <w:tmpl w:val="BD700E50"/>
    <w:lvl w:ilvl="0" w:tplc="89F051F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B5F1E"/>
    <w:multiLevelType w:val="hybridMultilevel"/>
    <w:tmpl w:val="5510A2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1347"/>
    <w:multiLevelType w:val="multilevel"/>
    <w:tmpl w:val="DB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167E0"/>
    <w:multiLevelType w:val="hybridMultilevel"/>
    <w:tmpl w:val="F3CC9E8C"/>
    <w:lvl w:ilvl="0" w:tplc="72E8A412">
      <w:start w:val="1"/>
      <w:numFmt w:val="upperLetter"/>
      <w:lvlText w:val="%1)"/>
      <w:lvlJc w:val="left"/>
      <w:pPr>
        <w:ind w:left="5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5" w:hanging="360"/>
      </w:pPr>
    </w:lvl>
    <w:lvl w:ilvl="2" w:tplc="040C001B" w:tentative="1">
      <w:start w:val="1"/>
      <w:numFmt w:val="lowerRoman"/>
      <w:lvlText w:val="%3."/>
      <w:lvlJc w:val="right"/>
      <w:pPr>
        <w:ind w:left="2035" w:hanging="180"/>
      </w:pPr>
    </w:lvl>
    <w:lvl w:ilvl="3" w:tplc="040C000F" w:tentative="1">
      <w:start w:val="1"/>
      <w:numFmt w:val="decimal"/>
      <w:lvlText w:val="%4."/>
      <w:lvlJc w:val="left"/>
      <w:pPr>
        <w:ind w:left="2755" w:hanging="360"/>
      </w:pPr>
    </w:lvl>
    <w:lvl w:ilvl="4" w:tplc="040C0019" w:tentative="1">
      <w:start w:val="1"/>
      <w:numFmt w:val="lowerLetter"/>
      <w:lvlText w:val="%5."/>
      <w:lvlJc w:val="left"/>
      <w:pPr>
        <w:ind w:left="3475" w:hanging="360"/>
      </w:pPr>
    </w:lvl>
    <w:lvl w:ilvl="5" w:tplc="040C001B" w:tentative="1">
      <w:start w:val="1"/>
      <w:numFmt w:val="lowerRoman"/>
      <w:lvlText w:val="%6."/>
      <w:lvlJc w:val="right"/>
      <w:pPr>
        <w:ind w:left="4195" w:hanging="180"/>
      </w:pPr>
    </w:lvl>
    <w:lvl w:ilvl="6" w:tplc="040C000F" w:tentative="1">
      <w:start w:val="1"/>
      <w:numFmt w:val="decimal"/>
      <w:lvlText w:val="%7."/>
      <w:lvlJc w:val="left"/>
      <w:pPr>
        <w:ind w:left="4915" w:hanging="360"/>
      </w:pPr>
    </w:lvl>
    <w:lvl w:ilvl="7" w:tplc="040C0019" w:tentative="1">
      <w:start w:val="1"/>
      <w:numFmt w:val="lowerLetter"/>
      <w:lvlText w:val="%8."/>
      <w:lvlJc w:val="left"/>
      <w:pPr>
        <w:ind w:left="5635" w:hanging="360"/>
      </w:pPr>
    </w:lvl>
    <w:lvl w:ilvl="8" w:tplc="040C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4" w15:restartNumberingAfterBreak="0">
    <w:nsid w:val="68491411"/>
    <w:multiLevelType w:val="multilevel"/>
    <w:tmpl w:val="E29A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14DF2"/>
    <w:multiLevelType w:val="hybridMultilevel"/>
    <w:tmpl w:val="1A76A250"/>
    <w:lvl w:ilvl="0" w:tplc="F1226D0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17479E"/>
        <w:sz w:val="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78004">
    <w:abstractNumId w:val="15"/>
  </w:num>
  <w:num w:numId="2" w16cid:durableId="1600218541">
    <w:abstractNumId w:val="9"/>
  </w:num>
  <w:num w:numId="3" w16cid:durableId="996035790">
    <w:abstractNumId w:val="5"/>
  </w:num>
  <w:num w:numId="4" w16cid:durableId="899050365">
    <w:abstractNumId w:val="14"/>
  </w:num>
  <w:num w:numId="5" w16cid:durableId="1419790985">
    <w:abstractNumId w:val="11"/>
  </w:num>
  <w:num w:numId="6" w16cid:durableId="583876649">
    <w:abstractNumId w:val="6"/>
  </w:num>
  <w:num w:numId="7" w16cid:durableId="2016494680">
    <w:abstractNumId w:val="8"/>
  </w:num>
  <w:num w:numId="8" w16cid:durableId="715662982">
    <w:abstractNumId w:val="3"/>
  </w:num>
  <w:num w:numId="9" w16cid:durableId="447117924">
    <w:abstractNumId w:val="1"/>
  </w:num>
  <w:num w:numId="10" w16cid:durableId="548342929">
    <w:abstractNumId w:val="10"/>
  </w:num>
  <w:num w:numId="11" w16cid:durableId="1715499908">
    <w:abstractNumId w:val="12"/>
  </w:num>
  <w:num w:numId="12" w16cid:durableId="1889998381">
    <w:abstractNumId w:val="7"/>
  </w:num>
  <w:num w:numId="13" w16cid:durableId="79377470">
    <w:abstractNumId w:val="2"/>
  </w:num>
  <w:num w:numId="14" w16cid:durableId="204219950">
    <w:abstractNumId w:val="0"/>
  </w:num>
  <w:num w:numId="15" w16cid:durableId="2053184416">
    <w:abstractNumId w:val="4"/>
  </w:num>
  <w:num w:numId="16" w16cid:durableId="585841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178E8"/>
    <w:rsid w:val="00030148"/>
    <w:rsid w:val="000365CD"/>
    <w:rsid w:val="00077F09"/>
    <w:rsid w:val="000C0FEC"/>
    <w:rsid w:val="000E1120"/>
    <w:rsid w:val="00136FE3"/>
    <w:rsid w:val="00142EB0"/>
    <w:rsid w:val="001433DC"/>
    <w:rsid w:val="0015016D"/>
    <w:rsid w:val="00161581"/>
    <w:rsid w:val="0016788A"/>
    <w:rsid w:val="00180782"/>
    <w:rsid w:val="001D0C6E"/>
    <w:rsid w:val="00205650"/>
    <w:rsid w:val="0025246B"/>
    <w:rsid w:val="002641F6"/>
    <w:rsid w:val="002B1D24"/>
    <w:rsid w:val="002C6E25"/>
    <w:rsid w:val="00351135"/>
    <w:rsid w:val="00351C51"/>
    <w:rsid w:val="003E0157"/>
    <w:rsid w:val="003E0ED8"/>
    <w:rsid w:val="00402A07"/>
    <w:rsid w:val="00454B3A"/>
    <w:rsid w:val="004C7C0D"/>
    <w:rsid w:val="004D41DF"/>
    <w:rsid w:val="00504475"/>
    <w:rsid w:val="0051429A"/>
    <w:rsid w:val="005633C3"/>
    <w:rsid w:val="005B3E23"/>
    <w:rsid w:val="006041AC"/>
    <w:rsid w:val="00614F3C"/>
    <w:rsid w:val="00617B2D"/>
    <w:rsid w:val="006945C7"/>
    <w:rsid w:val="006D7B5A"/>
    <w:rsid w:val="0071362A"/>
    <w:rsid w:val="007402EF"/>
    <w:rsid w:val="0074451D"/>
    <w:rsid w:val="00752F42"/>
    <w:rsid w:val="007C35C2"/>
    <w:rsid w:val="00880842"/>
    <w:rsid w:val="008C0CEC"/>
    <w:rsid w:val="00931BDB"/>
    <w:rsid w:val="0093352E"/>
    <w:rsid w:val="00977A3B"/>
    <w:rsid w:val="009C505A"/>
    <w:rsid w:val="009F7310"/>
    <w:rsid w:val="00A553C3"/>
    <w:rsid w:val="00A67900"/>
    <w:rsid w:val="00A87021"/>
    <w:rsid w:val="00AA489E"/>
    <w:rsid w:val="00AC58E1"/>
    <w:rsid w:val="00AE24A0"/>
    <w:rsid w:val="00B44CFD"/>
    <w:rsid w:val="00B5133C"/>
    <w:rsid w:val="00B72428"/>
    <w:rsid w:val="00BA4D42"/>
    <w:rsid w:val="00BC5C7D"/>
    <w:rsid w:val="00BE1F57"/>
    <w:rsid w:val="00C045D1"/>
    <w:rsid w:val="00C35352"/>
    <w:rsid w:val="00CD7FB8"/>
    <w:rsid w:val="00D53843"/>
    <w:rsid w:val="00DA33A8"/>
    <w:rsid w:val="00DD2A4F"/>
    <w:rsid w:val="00DE60D7"/>
    <w:rsid w:val="00E13185"/>
    <w:rsid w:val="00E467DD"/>
    <w:rsid w:val="00E6730E"/>
    <w:rsid w:val="00E8404A"/>
    <w:rsid w:val="00E924CD"/>
    <w:rsid w:val="00EC6467"/>
    <w:rsid w:val="00F14C02"/>
    <w:rsid w:val="00F34702"/>
    <w:rsid w:val="00F52339"/>
    <w:rsid w:val="00F6372F"/>
    <w:rsid w:val="00F70FBE"/>
    <w:rsid w:val="00FA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614F3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3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850</Words>
  <Characters>4678</Characters>
  <Application>Microsoft Office Word</Application>
  <DocSecurity>0</DocSecurity>
  <Lines>38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Anne-Charlotte Jacob</cp:lastModifiedBy>
  <cp:revision>65</cp:revision>
  <dcterms:created xsi:type="dcterms:W3CDTF">2023-02-16T09:40:00Z</dcterms:created>
  <dcterms:modified xsi:type="dcterms:W3CDTF">2023-02-16T14:01:00Z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