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76E63" w14:textId="77777777" w:rsidR="00DA1C16" w:rsidRDefault="00DA1C16" w:rsidP="004E1208">
      <w:pPr>
        <w:autoSpaceDE w:val="0"/>
        <w:autoSpaceDN w:val="0"/>
        <w:adjustRightInd w:val="0"/>
        <w:jc w:val="center"/>
        <w:rPr>
          <w:rFonts w:ascii="Arial" w:eastAsiaTheme="minorHAnsi" w:hAnsi="Arial" w:cs="Arial"/>
          <w:b/>
          <w:bCs/>
          <w:szCs w:val="22"/>
        </w:rPr>
      </w:pPr>
    </w:p>
    <w:p w14:paraId="1C88D435" w14:textId="5E3C7FCB" w:rsidR="00DA1C16" w:rsidRPr="00DA1C16" w:rsidRDefault="00DA1C16" w:rsidP="00DA1C16">
      <w:pPr>
        <w:autoSpaceDE w:val="0"/>
        <w:autoSpaceDN w:val="0"/>
        <w:adjustRightInd w:val="0"/>
        <w:jc w:val="right"/>
        <w:rPr>
          <w:rFonts w:ascii="Arial" w:eastAsiaTheme="minorHAnsi" w:hAnsi="Arial" w:cs="Arial"/>
          <w:bCs/>
          <w:szCs w:val="22"/>
        </w:rPr>
      </w:pPr>
      <w:r w:rsidRPr="00DA1C16">
        <w:rPr>
          <w:rFonts w:ascii="Arial" w:eastAsiaTheme="minorHAnsi" w:hAnsi="Arial" w:cs="Arial"/>
          <w:bCs/>
          <w:szCs w:val="22"/>
        </w:rPr>
        <w:t xml:space="preserve">Paris, le </w:t>
      </w:r>
      <w:r w:rsidR="009B7F28">
        <w:rPr>
          <w:rFonts w:ascii="Arial" w:eastAsiaTheme="minorHAnsi" w:hAnsi="Arial" w:cs="Arial"/>
          <w:bCs/>
          <w:szCs w:val="22"/>
        </w:rPr>
        <w:t>22 août 2019</w:t>
      </w:r>
    </w:p>
    <w:p w14:paraId="4023C32B" w14:textId="77777777" w:rsidR="00DA1C16" w:rsidRDefault="00DA1C16" w:rsidP="00DA1C16">
      <w:pPr>
        <w:autoSpaceDE w:val="0"/>
        <w:autoSpaceDN w:val="0"/>
        <w:adjustRightInd w:val="0"/>
        <w:jc w:val="right"/>
        <w:rPr>
          <w:rFonts w:ascii="Arial" w:eastAsiaTheme="minorHAnsi" w:hAnsi="Arial" w:cs="Arial"/>
          <w:b/>
          <w:bCs/>
          <w:szCs w:val="22"/>
        </w:rPr>
      </w:pPr>
    </w:p>
    <w:p w14:paraId="412F4AA9" w14:textId="0EF16EB0" w:rsidR="004E1208" w:rsidRPr="001B05B2" w:rsidRDefault="009B7F28" w:rsidP="001B05B2">
      <w:pPr>
        <w:spacing w:before="600" w:after="360"/>
        <w:jc w:val="center"/>
        <w:rPr>
          <w:rFonts w:ascii="Arial" w:eastAsiaTheme="minorHAnsi" w:hAnsi="Arial" w:cs="Arial"/>
          <w:b/>
          <w:bCs/>
          <w:sz w:val="32"/>
          <w:szCs w:val="32"/>
        </w:rPr>
      </w:pPr>
      <w:r w:rsidRPr="001B05B2">
        <w:rPr>
          <w:rFonts w:ascii="Arial" w:eastAsiaTheme="minorHAnsi" w:hAnsi="Arial" w:cs="Arial"/>
          <w:b/>
          <w:bCs/>
          <w:sz w:val="32"/>
          <w:szCs w:val="32"/>
        </w:rPr>
        <w:t>Principales dispositions de la Loi du n° 2019-828 du 6 août 2019 de transformation de la fonction publique</w:t>
      </w:r>
      <w:r w:rsidR="009E56FE" w:rsidRPr="001B05B2">
        <w:rPr>
          <w:rFonts w:ascii="Arial" w:eastAsiaTheme="minorHAnsi" w:hAnsi="Arial" w:cs="Arial"/>
          <w:b/>
          <w:bCs/>
          <w:sz w:val="32"/>
          <w:szCs w:val="32"/>
        </w:rPr>
        <w:t>.</w:t>
      </w:r>
    </w:p>
    <w:p w14:paraId="00FD60A6" w14:textId="77777777" w:rsidR="009B7279" w:rsidRDefault="009B7279" w:rsidP="006A7253">
      <w:pPr>
        <w:pStyle w:val="NormalWeb"/>
        <w:spacing w:before="86" w:beforeAutospacing="0" w:after="0" w:afterAutospacing="0"/>
        <w:ind w:left="426"/>
        <w:rPr>
          <w:rFonts w:ascii="Arial" w:eastAsiaTheme="minorEastAsia" w:hAnsi="Arial" w:cs="Arial"/>
          <w:color w:val="000000" w:themeColor="text1"/>
          <w:kern w:val="24"/>
          <w:sz w:val="22"/>
          <w:szCs w:val="22"/>
        </w:rPr>
      </w:pPr>
    </w:p>
    <w:p w14:paraId="5AAC707F" w14:textId="59B73ABF" w:rsidR="009B7F28" w:rsidRPr="009B7F28" w:rsidRDefault="009B7F28" w:rsidP="009B7F28">
      <w:pPr>
        <w:spacing w:after="240"/>
        <w:ind w:left="426" w:right="142"/>
        <w:jc w:val="both"/>
        <w:textAlignment w:val="center"/>
        <w:rPr>
          <w:rFonts w:ascii="Arial" w:eastAsia="Times New Roman" w:hAnsi="Arial" w:cs="Arial"/>
          <w:color w:val="333333"/>
          <w:lang w:eastAsia="fr-FR"/>
        </w:rPr>
      </w:pPr>
      <w:r w:rsidRPr="009B7F28">
        <w:rPr>
          <w:rFonts w:ascii="Arial" w:eastAsia="Times New Roman" w:hAnsi="Arial" w:cs="Arial"/>
          <w:bCs/>
          <w:color w:val="333333"/>
          <w:lang w:eastAsia="fr-FR"/>
        </w:rPr>
        <w:t>Organisée autour de 5 titres, la Loi définit les orientations stratégiques de la transformation de la F</w:t>
      </w:r>
      <w:r>
        <w:rPr>
          <w:rFonts w:ascii="Arial" w:eastAsia="Times New Roman" w:hAnsi="Arial" w:cs="Arial"/>
          <w:bCs/>
          <w:color w:val="333333"/>
          <w:lang w:eastAsia="fr-FR"/>
        </w:rPr>
        <w:t xml:space="preserve">onction </w:t>
      </w:r>
      <w:r w:rsidRPr="009B7F28">
        <w:rPr>
          <w:rFonts w:ascii="Arial" w:eastAsia="Times New Roman" w:hAnsi="Arial" w:cs="Arial"/>
          <w:bCs/>
          <w:color w:val="333333"/>
          <w:lang w:eastAsia="fr-FR"/>
        </w:rPr>
        <w:t>P</w:t>
      </w:r>
      <w:r>
        <w:rPr>
          <w:rFonts w:ascii="Arial" w:eastAsia="Times New Roman" w:hAnsi="Arial" w:cs="Arial"/>
          <w:bCs/>
          <w:color w:val="333333"/>
          <w:lang w:eastAsia="fr-FR"/>
        </w:rPr>
        <w:t>ublique</w:t>
      </w:r>
      <w:r w:rsidRPr="009B7F28">
        <w:rPr>
          <w:rFonts w:ascii="Arial" w:eastAsia="Times New Roman" w:hAnsi="Arial" w:cs="Arial"/>
          <w:bCs/>
          <w:color w:val="333333"/>
          <w:lang w:eastAsia="fr-FR"/>
        </w:rPr>
        <w:t xml:space="preserve"> :</w:t>
      </w:r>
    </w:p>
    <w:tbl>
      <w:tblPr>
        <w:tblW w:w="5000" w:type="pct"/>
        <w:tblCellSpacing w:w="7" w:type="dxa"/>
        <w:tblInd w:w="426" w:type="dxa"/>
        <w:tblLook w:val="04A0" w:firstRow="1" w:lastRow="0" w:firstColumn="1" w:lastColumn="0" w:noHBand="0" w:noVBand="1"/>
      </w:tblPr>
      <w:tblGrid>
        <w:gridCol w:w="10463"/>
        <w:gridCol w:w="27"/>
      </w:tblGrid>
      <w:tr w:rsidR="009B7F28" w14:paraId="3037641A" w14:textId="77777777" w:rsidTr="009B7F28">
        <w:trPr>
          <w:tblCellSpacing w:w="7" w:type="dxa"/>
        </w:trPr>
        <w:tc>
          <w:tcPr>
            <w:tcW w:w="0" w:type="auto"/>
            <w:tcMar>
              <w:top w:w="0" w:type="dxa"/>
              <w:left w:w="0" w:type="dxa"/>
              <w:bottom w:w="0" w:type="dxa"/>
              <w:right w:w="0" w:type="dxa"/>
            </w:tcMar>
            <w:vAlign w:val="center"/>
            <w:hideMark/>
          </w:tcPr>
          <w:p w14:paraId="24648F48" w14:textId="77777777" w:rsidR="009B7F28" w:rsidRDefault="009B7F28" w:rsidP="009B7F28">
            <w:pPr>
              <w:spacing w:before="240" w:after="120"/>
              <w:ind w:left="426" w:right="142" w:hanging="879"/>
              <w:jc w:val="both"/>
              <w:rPr>
                <w:rFonts w:ascii="Arial" w:eastAsia="Times New Roman" w:hAnsi="Arial" w:cs="Arial"/>
                <w:color w:val="2E3A4C"/>
                <w:szCs w:val="22"/>
                <w:lang w:eastAsia="fr-FR"/>
              </w:rPr>
            </w:pPr>
            <w:r>
              <w:rPr>
                <w:rFonts w:ascii="Arial" w:eastAsia="Times New Roman" w:hAnsi="Arial" w:cs="Arial"/>
                <w:b/>
                <w:bCs/>
                <w:color w:val="2E3A4C"/>
                <w:lang w:eastAsia="fr-FR"/>
              </w:rPr>
              <w:t>Axe 1 : Promouvoir un dialogue social plus stratégique dans le respect des garanties des agents publics</w:t>
            </w:r>
          </w:p>
          <w:p w14:paraId="40D97A26"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Renforcer la gouvernance du dialogue social au niveau inter-fonctions publiques et par versant</w:t>
            </w:r>
          </w:p>
          <w:p w14:paraId="722FD819"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Créer une instance unique pour développer une vision intégrée des politiques de ressources humaines et des conditions de travail (fusion CT/CHSCT)</w:t>
            </w:r>
          </w:p>
          <w:p w14:paraId="30821E2F"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Réorganiser les CAP pour un meilleur accompagnement des situations individuelles complexes</w:t>
            </w:r>
          </w:p>
          <w:p w14:paraId="23A398A0" w14:textId="5C5140B3"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Développer le recours à la négociation collective dans la fonction publique</w:t>
            </w:r>
          </w:p>
          <w:p w14:paraId="342BFBC7" w14:textId="77777777" w:rsidR="009B7F28" w:rsidRDefault="009B7F28" w:rsidP="009B7F28">
            <w:pPr>
              <w:ind w:left="142" w:right="142"/>
              <w:jc w:val="both"/>
              <w:rPr>
                <w:rFonts w:ascii="Arial" w:eastAsia="Times New Roman" w:hAnsi="Arial" w:cs="Arial"/>
                <w:color w:val="2E3A4C"/>
                <w:lang w:eastAsia="fr-FR"/>
              </w:rPr>
            </w:pPr>
          </w:p>
          <w:p w14:paraId="0ACCC885" w14:textId="61D42BDD" w:rsidR="009B7F28" w:rsidRDefault="009B7F28" w:rsidP="009B7F28">
            <w:pPr>
              <w:ind w:left="142" w:right="142"/>
              <w:jc w:val="both"/>
              <w:rPr>
                <w:rFonts w:ascii="Arial" w:eastAsia="Times New Roman" w:hAnsi="Arial" w:cs="Arial"/>
                <w:color w:val="2E3A4C"/>
                <w:lang w:eastAsia="fr-FR"/>
              </w:rPr>
            </w:pPr>
          </w:p>
        </w:tc>
        <w:tc>
          <w:tcPr>
            <w:tcW w:w="0" w:type="auto"/>
            <w:tcMar>
              <w:top w:w="0" w:type="dxa"/>
              <w:left w:w="0" w:type="dxa"/>
              <w:bottom w:w="0" w:type="dxa"/>
              <w:right w:w="0" w:type="dxa"/>
            </w:tcMar>
            <w:vAlign w:val="center"/>
          </w:tcPr>
          <w:p w14:paraId="6D3548D1" w14:textId="77777777" w:rsidR="009B7F28" w:rsidRDefault="009B7F28" w:rsidP="009B7F28">
            <w:pPr>
              <w:ind w:left="426" w:right="142"/>
              <w:jc w:val="both"/>
              <w:rPr>
                <w:rFonts w:ascii="Arial" w:eastAsia="Times New Roman" w:hAnsi="Arial" w:cs="Arial"/>
                <w:color w:val="2E3A4C"/>
                <w:lang w:eastAsia="fr-FR"/>
              </w:rPr>
            </w:pPr>
          </w:p>
        </w:tc>
      </w:tr>
      <w:tr w:rsidR="009B7F28" w14:paraId="70DEDA68" w14:textId="77777777" w:rsidTr="009B7F28">
        <w:trPr>
          <w:tblCellSpacing w:w="7" w:type="dxa"/>
        </w:trPr>
        <w:tc>
          <w:tcPr>
            <w:tcW w:w="0" w:type="auto"/>
            <w:tcMar>
              <w:top w:w="0" w:type="dxa"/>
              <w:left w:w="0" w:type="dxa"/>
              <w:bottom w:w="0" w:type="dxa"/>
              <w:right w:w="0" w:type="dxa"/>
            </w:tcMar>
            <w:vAlign w:val="center"/>
            <w:hideMark/>
          </w:tcPr>
          <w:p w14:paraId="5807FBC1" w14:textId="77777777" w:rsidR="009B7F28" w:rsidRDefault="009B7F28" w:rsidP="009B7F28">
            <w:pPr>
              <w:spacing w:before="240" w:after="120"/>
              <w:ind w:left="426" w:right="142" w:hanging="879"/>
              <w:jc w:val="both"/>
              <w:rPr>
                <w:rFonts w:ascii="Arial" w:eastAsia="Times New Roman" w:hAnsi="Arial" w:cs="Arial"/>
                <w:color w:val="2E3A4C"/>
                <w:lang w:eastAsia="fr-FR"/>
              </w:rPr>
            </w:pPr>
            <w:r>
              <w:rPr>
                <w:rFonts w:ascii="Arial" w:eastAsia="Times New Roman" w:hAnsi="Arial" w:cs="Arial"/>
                <w:b/>
                <w:bCs/>
                <w:color w:val="2E3A4C"/>
                <w:lang w:eastAsia="fr-FR"/>
              </w:rPr>
              <w:t>Axe 2 : Développer les leviers managériaux pour une action publique plus réactive et plus efficace</w:t>
            </w:r>
          </w:p>
          <w:p w14:paraId="455211CD"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Élargir le recours au contrat sur les emplois de direction de l’État et de ses établissements publics, des collectivités territoriales et de leurs établissements publics et des établissements relevant de la fonction publique hospitalière</w:t>
            </w:r>
          </w:p>
          <w:p w14:paraId="7881B485"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Création d’un nouveau CDD « de projet » dans les trois versants pour permettre la mobilisation de compétences externes pour la conduite ou la mise en œuvre d’un projet</w:t>
            </w:r>
          </w:p>
          <w:p w14:paraId="22F7445C"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Autoriser le recrutement par voie de contrat sur les emplois permanents de catégories A, B et C, par dérogation au principe de l’occupation des emplois permanents par des fonctionnaires au sein de la FPE (à l’instar de la FPH)</w:t>
            </w:r>
          </w:p>
          <w:p w14:paraId="03064296"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Développement du recours au contrat sur emploi permanent pour faire face au besoin à temps non complet dans la FPT</w:t>
            </w:r>
          </w:p>
          <w:p w14:paraId="22351AB5"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Faciliter et accélérer les mouvements de mutation des fonctionnaires de l’État</w:t>
            </w:r>
          </w:p>
          <w:p w14:paraId="6A4E5DA8"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Généralisation de l'évaluation individuelle en lieu et place de la notation dans les trois versants</w:t>
            </w:r>
          </w:p>
          <w:p w14:paraId="5B6BE6F2"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Sécuriser la rémunération des agents contractuels recrutés sur emplois permanents, et prendre en compte, comme pour les fonctionnaires, leur engagement et leurs résultats individuels et collectifs</w:t>
            </w:r>
          </w:p>
          <w:p w14:paraId="5587C7DA"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Mieux reconnaitre les mérites individuels dans les procédures d’avancement et de promotion au choix dans les trois versants</w:t>
            </w:r>
          </w:p>
          <w:p w14:paraId="6CCF253B" w14:textId="5F62A449"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Moderniser et harmoniser l’échelle des sanctions entre les trois versants de la FP. </w:t>
            </w:r>
          </w:p>
          <w:p w14:paraId="66456C5F" w14:textId="77777777" w:rsidR="009B7F28" w:rsidRDefault="009B7F28" w:rsidP="009B7F28">
            <w:pPr>
              <w:ind w:left="557" w:right="142"/>
              <w:jc w:val="both"/>
              <w:rPr>
                <w:rFonts w:ascii="Arial" w:eastAsia="Times New Roman" w:hAnsi="Arial" w:cs="Arial"/>
                <w:color w:val="2E3A4C"/>
                <w:lang w:eastAsia="fr-FR"/>
              </w:rPr>
            </w:pPr>
          </w:p>
          <w:p w14:paraId="550ACC49" w14:textId="36BF87F2" w:rsidR="009B7F28" w:rsidRDefault="009B7F28" w:rsidP="009B7F28">
            <w:pPr>
              <w:ind w:left="142" w:right="142"/>
              <w:jc w:val="both"/>
              <w:rPr>
                <w:rFonts w:ascii="Arial" w:eastAsia="Times New Roman" w:hAnsi="Arial" w:cs="Arial"/>
                <w:color w:val="2E3A4C"/>
                <w:lang w:eastAsia="fr-FR"/>
              </w:rPr>
            </w:pPr>
          </w:p>
        </w:tc>
        <w:tc>
          <w:tcPr>
            <w:tcW w:w="0" w:type="auto"/>
            <w:tcMar>
              <w:top w:w="0" w:type="dxa"/>
              <w:left w:w="0" w:type="dxa"/>
              <w:bottom w:w="0" w:type="dxa"/>
              <w:right w:w="0" w:type="dxa"/>
            </w:tcMar>
            <w:vAlign w:val="center"/>
            <w:hideMark/>
          </w:tcPr>
          <w:p w14:paraId="1A4C0169" w14:textId="77777777" w:rsidR="009B7F28" w:rsidRDefault="009B7F28" w:rsidP="009B7F28">
            <w:pPr>
              <w:ind w:left="426" w:right="142"/>
              <w:rPr>
                <w:rFonts w:ascii="Arial" w:eastAsia="Times New Roman" w:hAnsi="Arial" w:cs="Arial"/>
                <w:color w:val="2E3A4C"/>
                <w:lang w:eastAsia="fr-FR"/>
              </w:rPr>
            </w:pPr>
          </w:p>
        </w:tc>
      </w:tr>
      <w:tr w:rsidR="009B7F28" w14:paraId="18A8E757" w14:textId="77777777" w:rsidTr="009B7F28">
        <w:trPr>
          <w:tblCellSpacing w:w="7" w:type="dxa"/>
        </w:trPr>
        <w:tc>
          <w:tcPr>
            <w:tcW w:w="0" w:type="auto"/>
            <w:tcMar>
              <w:top w:w="0" w:type="dxa"/>
              <w:left w:w="0" w:type="dxa"/>
              <w:bottom w:w="0" w:type="dxa"/>
              <w:right w:w="0" w:type="dxa"/>
            </w:tcMar>
            <w:vAlign w:val="center"/>
            <w:hideMark/>
          </w:tcPr>
          <w:p w14:paraId="306DA9A4" w14:textId="77777777" w:rsidR="009B7F28" w:rsidRDefault="009B7F28" w:rsidP="009B7F28">
            <w:pPr>
              <w:spacing w:before="240" w:after="120"/>
              <w:ind w:left="426" w:right="142" w:hanging="879"/>
              <w:jc w:val="both"/>
              <w:rPr>
                <w:rFonts w:ascii="Arial" w:eastAsia="Times New Roman" w:hAnsi="Arial" w:cs="Arial"/>
                <w:color w:val="2E3A4C"/>
                <w:szCs w:val="22"/>
                <w:lang w:eastAsia="fr-FR"/>
              </w:rPr>
            </w:pPr>
            <w:r>
              <w:rPr>
                <w:rFonts w:ascii="Arial" w:eastAsia="Times New Roman" w:hAnsi="Arial" w:cs="Arial"/>
                <w:b/>
                <w:bCs/>
                <w:color w:val="2E3A4C"/>
                <w:lang w:eastAsia="fr-FR"/>
              </w:rPr>
              <w:t>Axe 3 : Simplifier et garantir la transparence et l’équité du cadre de gestion des agents publics</w:t>
            </w:r>
          </w:p>
          <w:p w14:paraId="7A11B4BE"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Garantir l’égal accès aux emplois publics et la transparence sur les procédures de recrutement hors concours</w:t>
            </w:r>
          </w:p>
          <w:p w14:paraId="144FD7C2"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Renforcer la transparence et l’équité des règles en matière de contrôle déontologique</w:t>
            </w:r>
          </w:p>
          <w:p w14:paraId="5614F555"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Simplifier et moderniser les règles relatives à la protection de la santé et de la sécurité des agents publics</w:t>
            </w:r>
          </w:p>
          <w:p w14:paraId="7D149F22"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Harmoniser le temps de travail dans la fonction publique</w:t>
            </w:r>
          </w:p>
          <w:p w14:paraId="1B29D2B7"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Garantir la transparence sur les ressources du CNFPT + possibilité de fusion de CDG FPT</w:t>
            </w:r>
          </w:p>
          <w:p w14:paraId="16391AD1" w14:textId="2247D7C1"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Déconcentrer et simplifier la GRH dans la FPH.</w:t>
            </w:r>
          </w:p>
          <w:p w14:paraId="392CD6FD" w14:textId="77777777" w:rsidR="009B7F28" w:rsidRDefault="009B7F28" w:rsidP="009B7F28">
            <w:pPr>
              <w:ind w:left="557" w:right="142"/>
              <w:jc w:val="both"/>
              <w:rPr>
                <w:rFonts w:ascii="Arial" w:eastAsia="Times New Roman" w:hAnsi="Arial" w:cs="Arial"/>
                <w:color w:val="2E3A4C"/>
                <w:lang w:eastAsia="fr-FR"/>
              </w:rPr>
            </w:pPr>
          </w:p>
          <w:p w14:paraId="2E857798" w14:textId="5622F5B6" w:rsidR="009B7F28" w:rsidRDefault="009B7F28" w:rsidP="009B7F28">
            <w:pPr>
              <w:ind w:left="142" w:right="142"/>
              <w:jc w:val="both"/>
              <w:rPr>
                <w:rFonts w:ascii="Arial" w:eastAsia="Times New Roman" w:hAnsi="Arial" w:cs="Arial"/>
                <w:color w:val="2E3A4C"/>
                <w:lang w:eastAsia="fr-FR"/>
              </w:rPr>
            </w:pPr>
          </w:p>
        </w:tc>
        <w:tc>
          <w:tcPr>
            <w:tcW w:w="0" w:type="auto"/>
            <w:tcMar>
              <w:top w:w="0" w:type="dxa"/>
              <w:left w:w="0" w:type="dxa"/>
              <w:bottom w:w="0" w:type="dxa"/>
              <w:right w:w="0" w:type="dxa"/>
            </w:tcMar>
            <w:vAlign w:val="center"/>
            <w:hideMark/>
          </w:tcPr>
          <w:p w14:paraId="5149D623" w14:textId="77777777" w:rsidR="009B7F28" w:rsidRDefault="009B7F28" w:rsidP="009B7F28">
            <w:pPr>
              <w:ind w:left="426" w:right="142"/>
              <w:rPr>
                <w:rFonts w:ascii="Arial" w:eastAsia="Times New Roman" w:hAnsi="Arial" w:cs="Arial"/>
                <w:color w:val="2E3A4C"/>
                <w:lang w:eastAsia="fr-FR"/>
              </w:rPr>
            </w:pPr>
          </w:p>
        </w:tc>
      </w:tr>
      <w:tr w:rsidR="009B7F28" w14:paraId="741646BB" w14:textId="77777777" w:rsidTr="009B7F28">
        <w:trPr>
          <w:tblCellSpacing w:w="7" w:type="dxa"/>
        </w:trPr>
        <w:tc>
          <w:tcPr>
            <w:tcW w:w="0" w:type="auto"/>
            <w:tcMar>
              <w:top w:w="0" w:type="dxa"/>
              <w:left w:w="0" w:type="dxa"/>
              <w:bottom w:w="0" w:type="dxa"/>
              <w:right w:w="0" w:type="dxa"/>
            </w:tcMar>
            <w:vAlign w:val="center"/>
            <w:hideMark/>
          </w:tcPr>
          <w:p w14:paraId="22BFBA4A" w14:textId="77777777" w:rsidR="009B7F28" w:rsidRDefault="009B7F28" w:rsidP="009B7F28">
            <w:pPr>
              <w:spacing w:before="240" w:after="120"/>
              <w:ind w:left="426" w:right="142" w:hanging="879"/>
              <w:jc w:val="both"/>
              <w:rPr>
                <w:rFonts w:ascii="Arial" w:eastAsia="Times New Roman" w:hAnsi="Arial" w:cs="Arial"/>
                <w:color w:val="2E3A4C"/>
                <w:szCs w:val="22"/>
                <w:lang w:eastAsia="fr-FR"/>
              </w:rPr>
            </w:pPr>
            <w:r>
              <w:rPr>
                <w:rFonts w:ascii="Arial" w:eastAsia="Times New Roman" w:hAnsi="Arial" w:cs="Arial"/>
                <w:b/>
                <w:bCs/>
                <w:color w:val="2E3A4C"/>
                <w:lang w:eastAsia="fr-FR"/>
              </w:rPr>
              <w:lastRenderedPageBreak/>
              <w:t>Axe 4 : Favoriser la mobilité et accompagner les transitions professionnelles des agents publics dans la fonction publique et le secteur privé</w:t>
            </w:r>
          </w:p>
          <w:p w14:paraId="305A7FE0"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Garantir la portabilité des droits CPF en cas de mobilité entre les secteurs public et privé</w:t>
            </w:r>
          </w:p>
          <w:p w14:paraId="1AE889CC"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Fluidifier la mobilité des fonctionnaires FPE</w:t>
            </w:r>
          </w:p>
          <w:p w14:paraId="65FB0D48"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Durée d’affectation - FPE</w:t>
            </w:r>
          </w:p>
          <w:p w14:paraId="6B396982"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Création d’une portabilité du CDI en inter-versants</w:t>
            </w:r>
          </w:p>
          <w:p w14:paraId="14917EB7"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Favoriser la rupture conventionnelle de la relation de travail et droit à l’allocation de retour à l’emploi</w:t>
            </w:r>
          </w:p>
          <w:p w14:paraId="2CB6E7E8"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Création d’un dispositif global d’accompagnement des agents dont l’emploi est supprimé dans le cadre d’une restructuration (FPE + FPH)</w:t>
            </w:r>
          </w:p>
          <w:p w14:paraId="03416335" w14:textId="160D5850"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Création d’un mécanisme de détachement automatique et de « sac à dos social » pour les fonctionnaires concernés par l’externalisation de leur service ou de leur mission.</w:t>
            </w:r>
          </w:p>
          <w:p w14:paraId="1901A0AC" w14:textId="77777777" w:rsidR="009B7F28" w:rsidRDefault="009B7F28" w:rsidP="009B7F28">
            <w:pPr>
              <w:ind w:left="557" w:right="142"/>
              <w:jc w:val="both"/>
              <w:rPr>
                <w:rFonts w:ascii="Arial" w:eastAsia="Times New Roman" w:hAnsi="Arial" w:cs="Arial"/>
                <w:color w:val="2E3A4C"/>
                <w:lang w:eastAsia="fr-FR"/>
              </w:rPr>
            </w:pPr>
          </w:p>
          <w:p w14:paraId="7FEB764F" w14:textId="27C67348" w:rsidR="009B7F28" w:rsidRDefault="009B7F28" w:rsidP="009B7F28">
            <w:pPr>
              <w:ind w:left="142" w:right="142"/>
              <w:jc w:val="both"/>
              <w:rPr>
                <w:rFonts w:ascii="Arial" w:eastAsia="Times New Roman" w:hAnsi="Arial" w:cs="Arial"/>
                <w:color w:val="2E3A4C"/>
                <w:lang w:eastAsia="fr-FR"/>
              </w:rPr>
            </w:pPr>
          </w:p>
        </w:tc>
        <w:tc>
          <w:tcPr>
            <w:tcW w:w="0" w:type="auto"/>
            <w:tcMar>
              <w:top w:w="0" w:type="dxa"/>
              <w:left w:w="0" w:type="dxa"/>
              <w:bottom w:w="0" w:type="dxa"/>
              <w:right w:w="0" w:type="dxa"/>
            </w:tcMar>
            <w:vAlign w:val="center"/>
            <w:hideMark/>
          </w:tcPr>
          <w:p w14:paraId="0726BC66" w14:textId="77777777" w:rsidR="009B7F28" w:rsidRDefault="009B7F28" w:rsidP="009B7F28">
            <w:pPr>
              <w:ind w:left="426" w:right="142"/>
              <w:rPr>
                <w:rFonts w:ascii="Arial" w:eastAsia="Times New Roman" w:hAnsi="Arial" w:cs="Arial"/>
                <w:color w:val="2E3A4C"/>
                <w:lang w:eastAsia="fr-FR"/>
              </w:rPr>
            </w:pPr>
          </w:p>
        </w:tc>
      </w:tr>
      <w:tr w:rsidR="009B7F28" w14:paraId="1D6CAD85" w14:textId="77777777" w:rsidTr="009B7F28">
        <w:trPr>
          <w:tblCellSpacing w:w="7" w:type="dxa"/>
        </w:trPr>
        <w:tc>
          <w:tcPr>
            <w:tcW w:w="0" w:type="auto"/>
            <w:tcMar>
              <w:top w:w="0" w:type="dxa"/>
              <w:left w:w="0" w:type="dxa"/>
              <w:bottom w:w="0" w:type="dxa"/>
              <w:right w:w="0" w:type="dxa"/>
            </w:tcMar>
            <w:vAlign w:val="center"/>
            <w:hideMark/>
          </w:tcPr>
          <w:p w14:paraId="15A45E2F" w14:textId="77777777" w:rsidR="009B7F28" w:rsidRDefault="009B7F28" w:rsidP="009B7F28">
            <w:pPr>
              <w:spacing w:before="240" w:after="120"/>
              <w:ind w:left="426" w:right="142" w:hanging="879"/>
              <w:jc w:val="both"/>
              <w:rPr>
                <w:rFonts w:ascii="Arial" w:eastAsia="Times New Roman" w:hAnsi="Arial" w:cs="Arial"/>
                <w:color w:val="2E3A4C"/>
                <w:szCs w:val="22"/>
                <w:lang w:eastAsia="fr-FR"/>
              </w:rPr>
            </w:pPr>
            <w:r>
              <w:rPr>
                <w:rFonts w:ascii="Arial" w:eastAsia="Times New Roman" w:hAnsi="Arial" w:cs="Arial"/>
                <w:b/>
                <w:bCs/>
                <w:color w:val="2E3A4C"/>
                <w:lang w:eastAsia="fr-FR"/>
              </w:rPr>
              <w:t>Axe 5 : Renforcer l’égalité professionnelle dans la fonction publique</w:t>
            </w:r>
          </w:p>
          <w:p w14:paraId="5DBDFA6D"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Obligation de plans d’action « égalité professionnelle » d’ici à 2020</w:t>
            </w:r>
          </w:p>
          <w:p w14:paraId="5C3D2121"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Extension et renforcement du dispositif de nominations équilibrées sur les emplois de direction</w:t>
            </w:r>
          </w:p>
          <w:p w14:paraId="302CE0A8"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Sécurisation des règles de composition équilibrée et de présidence alternée pour les jurys et comités de sélection</w:t>
            </w:r>
          </w:p>
          <w:p w14:paraId="44B35590"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Inapplication du jour de carence pour les congés maladie liés à la grossesse + maintien des primes FPT en cas de congé maternité</w:t>
            </w:r>
          </w:p>
          <w:p w14:paraId="2EE6488F" w14:textId="77777777"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Maintien des droits à l’avancement – promotion en cas de congé parental et de disponibilité de droit pour élever un enfant et promotion équilibrée</w:t>
            </w:r>
          </w:p>
          <w:p w14:paraId="05EDF883" w14:textId="6E7DB562"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Pr>
                <w:rFonts w:ascii="Arial" w:eastAsia="Times New Roman" w:hAnsi="Arial" w:cs="Arial"/>
                <w:color w:val="2E3A4C"/>
                <w:lang w:eastAsia="fr-FR"/>
              </w:rPr>
              <w:t>Favoriser le déroulement de carrière des personnes en situation de handicap.</w:t>
            </w:r>
          </w:p>
          <w:p w14:paraId="67A454B4" w14:textId="77777777" w:rsidR="009B7F28" w:rsidRDefault="009B7F28" w:rsidP="009B7F28">
            <w:pPr>
              <w:ind w:left="557" w:right="142"/>
              <w:jc w:val="both"/>
              <w:rPr>
                <w:rFonts w:ascii="Arial" w:eastAsia="Times New Roman" w:hAnsi="Arial" w:cs="Arial"/>
                <w:color w:val="2E3A4C"/>
                <w:lang w:eastAsia="fr-FR"/>
              </w:rPr>
            </w:pPr>
          </w:p>
          <w:p w14:paraId="537A6838" w14:textId="08ECF7E0" w:rsidR="009B7F28" w:rsidRDefault="009B7F28" w:rsidP="009B7F28">
            <w:pPr>
              <w:ind w:left="557" w:right="142"/>
              <w:jc w:val="both"/>
              <w:rPr>
                <w:rFonts w:ascii="Arial" w:eastAsia="Times New Roman" w:hAnsi="Arial" w:cs="Arial"/>
                <w:color w:val="2E3A4C"/>
                <w:lang w:eastAsia="fr-FR"/>
              </w:rPr>
            </w:pPr>
          </w:p>
        </w:tc>
        <w:tc>
          <w:tcPr>
            <w:tcW w:w="0" w:type="auto"/>
            <w:tcMar>
              <w:top w:w="0" w:type="dxa"/>
              <w:left w:w="0" w:type="dxa"/>
              <w:bottom w:w="0" w:type="dxa"/>
              <w:right w:w="0" w:type="dxa"/>
            </w:tcMar>
            <w:vAlign w:val="center"/>
            <w:hideMark/>
          </w:tcPr>
          <w:p w14:paraId="19FD171F" w14:textId="77777777" w:rsidR="009B7F28" w:rsidRDefault="009B7F28" w:rsidP="009B7F28">
            <w:pPr>
              <w:ind w:left="426" w:right="142"/>
              <w:rPr>
                <w:rFonts w:ascii="Arial" w:eastAsia="Times New Roman" w:hAnsi="Arial" w:cs="Arial"/>
                <w:color w:val="2E3A4C"/>
                <w:lang w:eastAsia="fr-FR"/>
              </w:rPr>
            </w:pPr>
          </w:p>
        </w:tc>
      </w:tr>
    </w:tbl>
    <w:p w14:paraId="6D499610" w14:textId="77777777" w:rsidR="009B7F28" w:rsidRDefault="009B7F28" w:rsidP="009B7F28">
      <w:pPr>
        <w:ind w:left="426" w:right="142"/>
        <w:jc w:val="both"/>
        <w:rPr>
          <w:rFonts w:ascii="Arial" w:hAnsi="Arial" w:cs="Arial"/>
          <w:szCs w:val="22"/>
        </w:rPr>
      </w:pPr>
    </w:p>
    <w:p w14:paraId="3B0EE058" w14:textId="77777777" w:rsidR="009B7F28" w:rsidRDefault="009B7F28" w:rsidP="009B7F28">
      <w:pPr>
        <w:ind w:left="426" w:right="142"/>
        <w:jc w:val="both"/>
        <w:rPr>
          <w:rFonts w:ascii="Arial" w:hAnsi="Arial" w:cs="Arial"/>
        </w:rPr>
      </w:pPr>
    </w:p>
    <w:p w14:paraId="44C1659D" w14:textId="77777777" w:rsidR="009B7F28" w:rsidRPr="009B7F28" w:rsidRDefault="009B7F28" w:rsidP="009B7F28">
      <w:pPr>
        <w:pStyle w:val="Paragraphedeliste"/>
        <w:numPr>
          <w:ilvl w:val="0"/>
          <w:numId w:val="28"/>
        </w:numPr>
        <w:ind w:left="426" w:right="142" w:firstLine="0"/>
        <w:contextualSpacing/>
        <w:jc w:val="both"/>
        <w:rPr>
          <w:rFonts w:ascii="Arial" w:hAnsi="Arial" w:cs="Arial"/>
          <w:b/>
          <w:color w:val="0070C0"/>
          <w:sz w:val="24"/>
        </w:rPr>
      </w:pPr>
      <w:r w:rsidRPr="009B7F28">
        <w:rPr>
          <w:rFonts w:ascii="Arial" w:hAnsi="Arial" w:cs="Arial"/>
          <w:b/>
          <w:color w:val="0070C0"/>
          <w:sz w:val="24"/>
        </w:rPr>
        <w:t>Les dispositions concernant directement l’activité du FIPHFP</w:t>
      </w:r>
    </w:p>
    <w:p w14:paraId="4A64031D" w14:textId="77777777" w:rsidR="009B7F28" w:rsidRDefault="009B7F28" w:rsidP="009B7F28">
      <w:pPr>
        <w:ind w:left="426" w:right="142"/>
        <w:jc w:val="both"/>
        <w:rPr>
          <w:rFonts w:ascii="Arial" w:hAnsi="Arial" w:cs="Arial"/>
        </w:rPr>
      </w:pPr>
    </w:p>
    <w:p w14:paraId="79D84985" w14:textId="77777777" w:rsidR="009B7F28" w:rsidRPr="00737346" w:rsidRDefault="009B7F28" w:rsidP="00737346">
      <w:pPr>
        <w:pStyle w:val="Paragraphedeliste"/>
        <w:numPr>
          <w:ilvl w:val="1"/>
          <w:numId w:val="28"/>
        </w:numPr>
        <w:ind w:left="426" w:right="142" w:firstLine="0"/>
        <w:contextualSpacing/>
        <w:jc w:val="both"/>
        <w:rPr>
          <w:rFonts w:ascii="Arial" w:hAnsi="Arial" w:cs="Arial"/>
          <w:b/>
          <w:i/>
        </w:rPr>
      </w:pPr>
      <w:r w:rsidRPr="00737346">
        <w:rPr>
          <w:rFonts w:ascii="Arial" w:hAnsi="Arial" w:cs="Arial"/>
          <w:b/>
          <w:i/>
        </w:rPr>
        <w:t>Article 90 (conditions d’application précisées par décret en Conseil d’État)</w:t>
      </w:r>
    </w:p>
    <w:p w14:paraId="79897949" w14:textId="77777777" w:rsidR="009B7F28" w:rsidRDefault="009B7F28" w:rsidP="009B7F28">
      <w:pPr>
        <w:ind w:left="426" w:right="142"/>
        <w:jc w:val="both"/>
        <w:rPr>
          <w:rFonts w:ascii="Arial" w:hAnsi="Arial" w:cs="Arial"/>
        </w:rPr>
      </w:pPr>
    </w:p>
    <w:p w14:paraId="29FEDD08" w14:textId="35AA878A" w:rsidR="009B7F28" w:rsidRDefault="009B7F28" w:rsidP="009B7F28">
      <w:pPr>
        <w:pStyle w:val="Paragraphedeliste"/>
        <w:spacing w:after="60"/>
        <w:ind w:left="426" w:right="142"/>
        <w:jc w:val="both"/>
        <w:rPr>
          <w:rFonts w:ascii="Arial" w:hAnsi="Arial" w:cs="Arial"/>
          <w:i/>
          <w:u w:val="single"/>
        </w:rPr>
      </w:pPr>
      <w:r>
        <w:rPr>
          <w:rFonts w:ascii="Arial" w:hAnsi="Arial" w:cs="Arial"/>
          <w:i/>
          <w:u w:val="single"/>
        </w:rPr>
        <w:t>Déclaration et contributions</w:t>
      </w:r>
    </w:p>
    <w:p w14:paraId="31724AF5" w14:textId="77777777" w:rsidR="009B7F28" w:rsidRP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sidRPr="009B7F28">
        <w:rPr>
          <w:rFonts w:ascii="Arial" w:eastAsia="Times New Roman" w:hAnsi="Arial" w:cs="Arial"/>
          <w:color w:val="2E3A4C"/>
          <w:lang w:eastAsia="fr-FR"/>
        </w:rPr>
        <w:t>Les CDG ne sont assujettis à l’OETH que pour leurs agents permanents, excepté lorsque les agents non permanents remplacent des agents permanents momentanément indisponibles</w:t>
      </w:r>
    </w:p>
    <w:p w14:paraId="08B264AF" w14:textId="77777777" w:rsidR="009B7F28" w:rsidRP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sidRPr="009B7F28">
        <w:rPr>
          <w:rFonts w:ascii="Arial" w:eastAsia="Times New Roman" w:hAnsi="Arial" w:cs="Arial"/>
          <w:color w:val="2E3A4C"/>
          <w:lang w:eastAsia="fr-FR"/>
        </w:rPr>
        <w:t>Tout employeur public occupant au moins 20 agents au moment de sa création ou en raison de l’accroissement de son effectif dispose, pour se mettre en conformité avec l’OETH, d’un délai déterminé par décret qui ne peut excéder 3 ans</w:t>
      </w:r>
    </w:p>
    <w:p w14:paraId="3ECD5295" w14:textId="3DBDC152"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sidRPr="009B7F28">
        <w:rPr>
          <w:rFonts w:ascii="Arial" w:eastAsia="Times New Roman" w:hAnsi="Arial" w:cs="Arial"/>
          <w:color w:val="2E3A4C"/>
          <w:lang w:eastAsia="fr-FR"/>
        </w:rPr>
        <w:t>Les employeurs publics comptant moins de 20 agents à temps plein ou leur équivalent déclarent leurs BOE (</w:t>
      </w:r>
      <w:r w:rsidRPr="009B7F28">
        <w:rPr>
          <w:rFonts w:ascii="Arial" w:eastAsia="Times New Roman" w:hAnsi="Arial" w:cs="Arial"/>
          <w:i/>
          <w:color w:val="2E3A4C"/>
          <w:sz w:val="20"/>
          <w:lang w:eastAsia="fr-FR"/>
        </w:rPr>
        <w:t>entrée en vigueur à une date fixée par décret en Conseil d’État et au plus tard le 1er janvier 2022</w:t>
      </w:r>
      <w:r w:rsidRPr="009B7F28">
        <w:rPr>
          <w:rFonts w:ascii="Arial" w:eastAsia="Times New Roman" w:hAnsi="Arial" w:cs="Arial"/>
          <w:color w:val="2E3A4C"/>
          <w:lang w:eastAsia="fr-FR"/>
        </w:rPr>
        <w:t>)</w:t>
      </w:r>
      <w:r>
        <w:rPr>
          <w:rFonts w:ascii="Arial" w:eastAsia="Times New Roman" w:hAnsi="Arial" w:cs="Arial"/>
          <w:color w:val="2E3A4C"/>
          <w:lang w:eastAsia="fr-FR"/>
        </w:rPr>
        <w:t>.</w:t>
      </w:r>
    </w:p>
    <w:p w14:paraId="3D9941AE" w14:textId="77777777" w:rsidR="009B7F28" w:rsidRP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sidRPr="009B7F28">
        <w:rPr>
          <w:rFonts w:ascii="Arial" w:eastAsia="Times New Roman" w:hAnsi="Arial" w:cs="Arial"/>
          <w:color w:val="2E3A4C"/>
          <w:lang w:eastAsia="fr-FR"/>
        </w:rPr>
        <w:t>Peuvent être déduites du montant de la contribution les dépenses mentionnées à l’article L 5212-10-1 du code du travail (créé par la loi 2018-771 du 5/9/18 pour la liberté de choisir son avenir professionnel) :</w:t>
      </w:r>
    </w:p>
    <w:p w14:paraId="3B798568" w14:textId="77777777" w:rsidR="009B7F28" w:rsidRPr="00737346" w:rsidRDefault="009B7F28" w:rsidP="00737346">
      <w:pPr>
        <w:pStyle w:val="Paragraphedeliste"/>
        <w:numPr>
          <w:ilvl w:val="1"/>
          <w:numId w:val="23"/>
        </w:numPr>
        <w:ind w:right="142"/>
        <w:rPr>
          <w:rFonts w:ascii="Arial" w:eastAsia="Times New Roman" w:hAnsi="Arial" w:cs="Arial"/>
          <w:color w:val="2E3A4C"/>
          <w:lang w:eastAsia="fr-FR"/>
        </w:rPr>
      </w:pPr>
      <w:r w:rsidRPr="00737346">
        <w:rPr>
          <w:rFonts w:ascii="Arial" w:eastAsia="Times New Roman" w:hAnsi="Arial" w:cs="Arial"/>
          <w:color w:val="2E3A4C"/>
          <w:lang w:eastAsia="fr-FR"/>
        </w:rPr>
        <w:t xml:space="preserve">Peuvent être déduites du montant de la contribution annuelle les dépenses supportées directement par l'entreprise afférentes à des contrats de fourniture, de sous-traitance ou de prestations de services qu'elle passe avec : </w:t>
      </w:r>
    </w:p>
    <w:p w14:paraId="3FFFAE6A" w14:textId="77777777" w:rsidR="009B7F28" w:rsidRPr="00737346" w:rsidRDefault="009B7F28" w:rsidP="00737346">
      <w:pPr>
        <w:pStyle w:val="Paragraphedeliste"/>
        <w:numPr>
          <w:ilvl w:val="1"/>
          <w:numId w:val="23"/>
        </w:numPr>
        <w:ind w:right="142"/>
        <w:rPr>
          <w:rFonts w:ascii="Arial" w:eastAsia="Times New Roman" w:hAnsi="Arial" w:cs="Arial"/>
          <w:color w:val="2E3A4C"/>
          <w:lang w:eastAsia="fr-FR"/>
        </w:rPr>
      </w:pPr>
      <w:r w:rsidRPr="00737346">
        <w:rPr>
          <w:rFonts w:ascii="Arial" w:eastAsia="Times New Roman" w:hAnsi="Arial" w:cs="Arial"/>
          <w:color w:val="2E3A4C"/>
          <w:lang w:eastAsia="fr-FR"/>
        </w:rPr>
        <w:t xml:space="preserve">1° Des entreprises adaptées ; </w:t>
      </w:r>
    </w:p>
    <w:p w14:paraId="4ED2E4DC" w14:textId="77777777" w:rsidR="009B7F28" w:rsidRPr="00737346" w:rsidRDefault="009B7F28" w:rsidP="00737346">
      <w:pPr>
        <w:pStyle w:val="Paragraphedeliste"/>
        <w:numPr>
          <w:ilvl w:val="1"/>
          <w:numId w:val="23"/>
        </w:numPr>
        <w:ind w:right="142"/>
        <w:rPr>
          <w:rFonts w:ascii="Arial" w:eastAsia="Times New Roman" w:hAnsi="Arial" w:cs="Arial"/>
          <w:color w:val="2E3A4C"/>
          <w:lang w:eastAsia="fr-FR"/>
        </w:rPr>
      </w:pPr>
      <w:r w:rsidRPr="00737346">
        <w:rPr>
          <w:rFonts w:ascii="Arial" w:eastAsia="Times New Roman" w:hAnsi="Arial" w:cs="Arial"/>
          <w:color w:val="2E3A4C"/>
          <w:lang w:eastAsia="fr-FR"/>
        </w:rPr>
        <w:t xml:space="preserve">2° Des établissements ou services d'aide par le travail ; </w:t>
      </w:r>
    </w:p>
    <w:p w14:paraId="0BA2A949" w14:textId="77777777" w:rsidR="009B7F28" w:rsidRPr="00737346" w:rsidRDefault="009B7F28" w:rsidP="00737346">
      <w:pPr>
        <w:pStyle w:val="Paragraphedeliste"/>
        <w:numPr>
          <w:ilvl w:val="1"/>
          <w:numId w:val="23"/>
        </w:numPr>
        <w:ind w:right="142"/>
        <w:rPr>
          <w:rFonts w:ascii="Arial" w:eastAsia="Times New Roman" w:hAnsi="Arial" w:cs="Arial"/>
          <w:color w:val="2E3A4C"/>
          <w:lang w:eastAsia="fr-FR"/>
        </w:rPr>
      </w:pPr>
      <w:r w:rsidRPr="00737346">
        <w:rPr>
          <w:rFonts w:ascii="Arial" w:eastAsia="Times New Roman" w:hAnsi="Arial" w:cs="Arial"/>
          <w:color w:val="2E3A4C"/>
          <w:lang w:eastAsia="fr-FR"/>
        </w:rPr>
        <w:t>3° Des travailleurs indépendants handicapés reconnus bénéficiaires de l'obligation d'emploi au sens de l'article L. 5212-13. Est présumée travailleur indépendant au sens du présent article toute personne remplissant les conditions mentionnées au I de l'article L. 8221-6 ou à l’article L. 8221-6-1</w:t>
      </w:r>
    </w:p>
    <w:p w14:paraId="7A45156E" w14:textId="77777777" w:rsidR="009B7F28" w:rsidRPr="00737346" w:rsidRDefault="009B7F28" w:rsidP="00737346">
      <w:pPr>
        <w:pStyle w:val="Paragraphedeliste"/>
        <w:numPr>
          <w:ilvl w:val="1"/>
          <w:numId w:val="23"/>
        </w:numPr>
        <w:ind w:right="142"/>
        <w:jc w:val="both"/>
        <w:rPr>
          <w:rFonts w:ascii="Arial" w:eastAsia="Times New Roman" w:hAnsi="Arial" w:cs="Arial"/>
          <w:color w:val="2E3A4C"/>
          <w:lang w:eastAsia="fr-FR"/>
        </w:rPr>
      </w:pPr>
      <w:r w:rsidRPr="00737346">
        <w:rPr>
          <w:rFonts w:ascii="Arial" w:eastAsia="Times New Roman" w:hAnsi="Arial" w:cs="Arial"/>
          <w:color w:val="2E3A4C"/>
          <w:lang w:eastAsia="fr-FR"/>
        </w:rPr>
        <w:lastRenderedPageBreak/>
        <w:t>La nature des dépenses mentionnées au premier alinéa du présent article ainsi que les conditions dans lesquelles celles-ci peuvent être déduites du montant de la contribution sont déterminées par décret.</w:t>
      </w:r>
    </w:p>
    <w:p w14:paraId="33AE37A3" w14:textId="77777777" w:rsidR="009B7F28" w:rsidRPr="009B7F28" w:rsidRDefault="009B7F28" w:rsidP="00737346">
      <w:pPr>
        <w:ind w:left="557" w:right="142"/>
        <w:jc w:val="both"/>
        <w:rPr>
          <w:rFonts w:ascii="Arial" w:eastAsia="Times New Roman" w:hAnsi="Arial" w:cs="Arial"/>
          <w:color w:val="2E3A4C"/>
          <w:lang w:eastAsia="fr-FR"/>
        </w:rPr>
      </w:pPr>
    </w:p>
    <w:p w14:paraId="65E60321" w14:textId="77777777" w:rsidR="009B7F28" w:rsidRDefault="009B7F28" w:rsidP="009B7F28">
      <w:pPr>
        <w:pStyle w:val="Paragraphedeliste"/>
        <w:spacing w:before="120" w:after="60"/>
        <w:ind w:left="426" w:right="142"/>
        <w:jc w:val="both"/>
        <w:rPr>
          <w:rFonts w:ascii="Arial" w:hAnsi="Arial" w:cs="Arial"/>
          <w:i/>
          <w:u w:val="single"/>
        </w:rPr>
      </w:pPr>
      <w:r>
        <w:rPr>
          <w:rFonts w:ascii="Arial" w:hAnsi="Arial" w:cs="Arial"/>
          <w:i/>
          <w:u w:val="single"/>
        </w:rPr>
        <w:t>Calcul du taux d’emploi</w:t>
      </w:r>
    </w:p>
    <w:p w14:paraId="4413037F" w14:textId="77777777" w:rsidR="009B7F28" w:rsidRP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sidRPr="009B7F28">
        <w:rPr>
          <w:rFonts w:ascii="Arial" w:eastAsia="Times New Roman" w:hAnsi="Arial" w:cs="Arial"/>
          <w:color w:val="2E3A4C"/>
          <w:lang w:eastAsia="fr-FR"/>
        </w:rPr>
        <w:t>Pour le calcul du taux d’emploi, les agents non permanents ne sont pas comptabilisés lorsqu’ils ont été rémunérés pendant moins de 6 mois au cours de l’année écoulée</w:t>
      </w:r>
    </w:p>
    <w:p w14:paraId="2879F84E" w14:textId="77777777" w:rsidR="009B7F28" w:rsidRP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sidRPr="009B7F28">
        <w:rPr>
          <w:rFonts w:ascii="Arial" w:eastAsia="Times New Roman" w:hAnsi="Arial" w:cs="Arial"/>
          <w:color w:val="2E3A4C"/>
          <w:lang w:eastAsia="fr-FR"/>
        </w:rPr>
        <w:t>Sont pris en compte, pour le calcul du nombre de BOE :</w:t>
      </w:r>
    </w:p>
    <w:p w14:paraId="6A3781A7" w14:textId="58A23FF6" w:rsidR="009B7F28" w:rsidRPr="009B7F28" w:rsidRDefault="009B7F28" w:rsidP="009B7F28">
      <w:pPr>
        <w:numPr>
          <w:ilvl w:val="1"/>
          <w:numId w:val="23"/>
        </w:numPr>
        <w:ind w:right="142"/>
        <w:jc w:val="both"/>
        <w:rPr>
          <w:rFonts w:ascii="Arial" w:eastAsia="Times New Roman" w:hAnsi="Arial" w:cs="Arial"/>
          <w:color w:val="2E3A4C"/>
          <w:lang w:eastAsia="fr-FR"/>
        </w:rPr>
      </w:pPr>
      <w:proofErr w:type="gramStart"/>
      <w:r w:rsidRPr="009B7F28">
        <w:rPr>
          <w:rFonts w:ascii="Arial" w:eastAsia="Times New Roman" w:hAnsi="Arial" w:cs="Arial"/>
          <w:color w:val="2E3A4C"/>
          <w:lang w:eastAsia="fr-FR"/>
        </w:rPr>
        <w:t>les</w:t>
      </w:r>
      <w:proofErr w:type="gramEnd"/>
      <w:r w:rsidRPr="009B7F28">
        <w:rPr>
          <w:rFonts w:ascii="Arial" w:eastAsia="Times New Roman" w:hAnsi="Arial" w:cs="Arial"/>
          <w:color w:val="2E3A4C"/>
          <w:lang w:eastAsia="fr-FR"/>
        </w:rPr>
        <w:t xml:space="preserve"> agents reclassés ou en période de préparation au reclassement</w:t>
      </w:r>
    </w:p>
    <w:p w14:paraId="6E75E225" w14:textId="3E12367A" w:rsidR="009B7F28" w:rsidRPr="009B7F28" w:rsidRDefault="009B7F28" w:rsidP="009B7F28">
      <w:pPr>
        <w:numPr>
          <w:ilvl w:val="1"/>
          <w:numId w:val="23"/>
        </w:numPr>
        <w:ind w:right="142"/>
        <w:jc w:val="both"/>
        <w:rPr>
          <w:rFonts w:ascii="Arial" w:eastAsia="Times New Roman" w:hAnsi="Arial" w:cs="Arial"/>
          <w:color w:val="2E3A4C"/>
          <w:lang w:eastAsia="fr-FR"/>
        </w:rPr>
      </w:pPr>
      <w:proofErr w:type="gramStart"/>
      <w:r w:rsidRPr="009B7F28">
        <w:rPr>
          <w:rFonts w:ascii="Arial" w:eastAsia="Times New Roman" w:hAnsi="Arial" w:cs="Arial"/>
          <w:color w:val="2E3A4C"/>
          <w:lang w:eastAsia="fr-FR"/>
        </w:rPr>
        <w:t>les</w:t>
      </w:r>
      <w:proofErr w:type="gramEnd"/>
      <w:r w:rsidRPr="009B7F28">
        <w:rPr>
          <w:rFonts w:ascii="Arial" w:eastAsia="Times New Roman" w:hAnsi="Arial" w:cs="Arial"/>
          <w:color w:val="2E3A4C"/>
          <w:lang w:eastAsia="fr-FR"/>
        </w:rPr>
        <w:t xml:space="preserve"> agents bénéficiant d’une allocation temporaire d’invalidité</w:t>
      </w:r>
    </w:p>
    <w:p w14:paraId="3B7196A9" w14:textId="4B7F58AB" w:rsidR="009B7F28" w:rsidRPr="00DD6D29" w:rsidRDefault="009B7F28" w:rsidP="009B7F28">
      <w:pPr>
        <w:numPr>
          <w:ilvl w:val="1"/>
          <w:numId w:val="23"/>
        </w:numPr>
        <w:ind w:right="142"/>
        <w:jc w:val="both"/>
        <w:rPr>
          <w:rFonts w:ascii="Arial" w:eastAsia="Times New Roman" w:hAnsi="Arial" w:cs="Arial"/>
          <w:color w:val="2E3A4C"/>
          <w:vertAlign w:val="superscript"/>
          <w:lang w:eastAsia="fr-FR"/>
        </w:rPr>
      </w:pPr>
      <w:proofErr w:type="gramStart"/>
      <w:r w:rsidRPr="009B7F28">
        <w:rPr>
          <w:rFonts w:ascii="Arial" w:eastAsia="Times New Roman" w:hAnsi="Arial" w:cs="Arial"/>
          <w:color w:val="2E3A4C"/>
          <w:lang w:eastAsia="fr-FR"/>
        </w:rPr>
        <w:t>les</w:t>
      </w:r>
      <w:proofErr w:type="gramEnd"/>
      <w:r w:rsidRPr="009B7F28">
        <w:rPr>
          <w:rFonts w:ascii="Arial" w:eastAsia="Times New Roman" w:hAnsi="Arial" w:cs="Arial"/>
          <w:color w:val="2E3A4C"/>
          <w:lang w:eastAsia="fr-FR"/>
        </w:rPr>
        <w:t xml:space="preserve"> titulaires d’un emploi </w:t>
      </w:r>
      <w:r w:rsidRPr="00DD6D29">
        <w:rPr>
          <w:rFonts w:ascii="Arial" w:eastAsia="Times New Roman" w:hAnsi="Arial" w:cs="Arial"/>
          <w:color w:val="2E3A4C"/>
          <w:lang w:eastAsia="fr-FR"/>
        </w:rPr>
        <w:t>réservé</w:t>
      </w:r>
      <w:r w:rsidR="00144D92" w:rsidRPr="00DD6D29">
        <w:rPr>
          <w:color w:val="2E3A4C"/>
          <w:vertAlign w:val="superscript"/>
        </w:rPr>
        <w:footnoteReference w:id="1"/>
      </w:r>
    </w:p>
    <w:p w14:paraId="0FAD968E" w14:textId="04AF6E8B"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sidRPr="009B7F28">
        <w:rPr>
          <w:rFonts w:ascii="Arial" w:eastAsia="Times New Roman" w:hAnsi="Arial" w:cs="Arial"/>
          <w:color w:val="2E3A4C"/>
          <w:lang w:eastAsia="fr-FR"/>
        </w:rPr>
        <w:t>Peut être pris en compte l’effort consenti par l’employeur public en faveur des bénéficiaires qui rencontrent des difficultés particulières de maintien en emploi</w:t>
      </w:r>
      <w:r>
        <w:rPr>
          <w:rFonts w:ascii="Arial" w:eastAsia="Times New Roman" w:hAnsi="Arial" w:cs="Arial"/>
          <w:color w:val="2E3A4C"/>
          <w:lang w:eastAsia="fr-FR"/>
        </w:rPr>
        <w:t>.</w:t>
      </w:r>
    </w:p>
    <w:p w14:paraId="59308131" w14:textId="77777777" w:rsidR="009B7F28" w:rsidRPr="009B7F28" w:rsidRDefault="009B7F28" w:rsidP="009B7F28">
      <w:pPr>
        <w:ind w:left="557" w:right="142"/>
        <w:jc w:val="both"/>
        <w:rPr>
          <w:rFonts w:ascii="Arial" w:eastAsia="Times New Roman" w:hAnsi="Arial" w:cs="Arial"/>
          <w:color w:val="2E3A4C"/>
          <w:lang w:eastAsia="fr-FR"/>
        </w:rPr>
      </w:pPr>
    </w:p>
    <w:p w14:paraId="1175922A" w14:textId="77777777" w:rsidR="009B7F28" w:rsidRDefault="009B7F28" w:rsidP="009B7F28">
      <w:pPr>
        <w:pStyle w:val="Paragraphedeliste"/>
        <w:spacing w:before="120" w:after="60"/>
        <w:ind w:left="426" w:right="142"/>
        <w:jc w:val="both"/>
        <w:rPr>
          <w:rFonts w:ascii="Arial" w:hAnsi="Arial" w:cs="Arial"/>
          <w:i/>
          <w:u w:val="single"/>
        </w:rPr>
      </w:pPr>
      <w:r>
        <w:rPr>
          <w:rFonts w:ascii="Arial" w:hAnsi="Arial" w:cs="Arial"/>
          <w:i/>
          <w:u w:val="single"/>
        </w:rPr>
        <w:t>Le FIPHFP et son comité national</w:t>
      </w:r>
    </w:p>
    <w:p w14:paraId="66752128" w14:textId="77777777" w:rsidR="009B7F28" w:rsidRP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sidRPr="009B7F28">
        <w:rPr>
          <w:rFonts w:ascii="Arial" w:eastAsia="Times New Roman" w:hAnsi="Arial" w:cs="Arial"/>
          <w:color w:val="2E3A4C"/>
          <w:lang w:eastAsia="fr-FR"/>
        </w:rPr>
        <w:t>Ajout dans les missions du FIPHFP : conseiller les employeurs publics pour la mise en œuvre de leurs actions en faveur des agents handicapés</w:t>
      </w:r>
    </w:p>
    <w:p w14:paraId="3685FBCF" w14:textId="77777777" w:rsidR="009B7F28" w:rsidRP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sidRPr="009B7F28">
        <w:rPr>
          <w:rFonts w:ascii="Arial" w:eastAsia="Times New Roman" w:hAnsi="Arial" w:cs="Arial"/>
          <w:color w:val="2E3A4C"/>
          <w:lang w:eastAsia="fr-FR"/>
        </w:rPr>
        <w:t>Introduction dans la composition du comité national du FIPHFP de représentants du service public de l’emploi (Pôle emploi et/ou Cap emploi)</w:t>
      </w:r>
    </w:p>
    <w:p w14:paraId="4D1A0CD7" w14:textId="77777777" w:rsidR="009B7F28" w:rsidRP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sidRPr="009B7F28">
        <w:rPr>
          <w:rFonts w:ascii="Arial" w:eastAsia="Times New Roman" w:hAnsi="Arial" w:cs="Arial"/>
          <w:color w:val="2E3A4C"/>
          <w:lang w:eastAsia="fr-FR"/>
        </w:rPr>
        <w:t>Le comité national détermine les conditions dans lesquelles les employeurs publics et les PSH sont associés à la définition et à l’évaluation des aides du Fonds</w:t>
      </w:r>
    </w:p>
    <w:p w14:paraId="7B6B695F" w14:textId="243E82DA" w:rsid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sidRPr="009B7F28">
        <w:rPr>
          <w:rFonts w:ascii="Arial" w:eastAsia="Times New Roman" w:hAnsi="Arial" w:cs="Arial"/>
          <w:color w:val="2E3A4C"/>
          <w:lang w:eastAsia="fr-FR"/>
        </w:rPr>
        <w:t>Le comité national établit un rapport annuel soumis au Conseil commun de la Fonction publique et au CNCPH</w:t>
      </w:r>
      <w:r>
        <w:rPr>
          <w:rFonts w:ascii="Arial" w:eastAsia="Times New Roman" w:hAnsi="Arial" w:cs="Arial"/>
          <w:color w:val="2E3A4C"/>
          <w:lang w:eastAsia="fr-FR"/>
        </w:rPr>
        <w:t>.</w:t>
      </w:r>
    </w:p>
    <w:p w14:paraId="0D2EAD81" w14:textId="52C2EC34" w:rsidR="009B7F28" w:rsidRDefault="009B7F28" w:rsidP="009B7F28">
      <w:pPr>
        <w:ind w:right="142"/>
        <w:jc w:val="both"/>
        <w:rPr>
          <w:rFonts w:ascii="Arial" w:eastAsia="Times New Roman" w:hAnsi="Arial" w:cs="Arial"/>
          <w:color w:val="2E3A4C"/>
          <w:lang w:eastAsia="fr-FR"/>
        </w:rPr>
      </w:pPr>
    </w:p>
    <w:p w14:paraId="1AEC6587" w14:textId="225E4F09" w:rsidR="009B7F28" w:rsidRPr="009B7F28" w:rsidRDefault="009B7F28" w:rsidP="009B7F28">
      <w:pPr>
        <w:pStyle w:val="Paragraphedeliste"/>
        <w:spacing w:before="120" w:after="60"/>
        <w:ind w:left="426" w:right="142"/>
        <w:jc w:val="both"/>
        <w:rPr>
          <w:rFonts w:ascii="Arial" w:eastAsia="Times New Roman" w:hAnsi="Arial" w:cs="Arial"/>
          <w:color w:val="2E3A4C"/>
          <w:lang w:eastAsia="fr-FR"/>
        </w:rPr>
      </w:pPr>
      <w:r>
        <w:rPr>
          <w:rFonts w:ascii="Arial" w:hAnsi="Arial" w:cs="Arial"/>
          <w:i/>
          <w:u w:val="single"/>
        </w:rPr>
        <w:t>Les conventions employeurs</w:t>
      </w:r>
    </w:p>
    <w:p w14:paraId="62B65679" w14:textId="77777777" w:rsidR="009B7F28" w:rsidRP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sidRPr="009B7F28">
        <w:rPr>
          <w:rFonts w:ascii="Arial" w:eastAsia="Times New Roman" w:hAnsi="Arial" w:cs="Arial"/>
          <w:color w:val="2E3A4C"/>
          <w:lang w:eastAsia="fr-FR"/>
        </w:rPr>
        <w:t>Le FIPHFP publie les objectifs et les résultats des conventions conclues avec les employeurs publics</w:t>
      </w:r>
    </w:p>
    <w:p w14:paraId="08204EA1" w14:textId="77777777" w:rsidR="009B7F28" w:rsidRPr="009B7F28" w:rsidRDefault="009B7F28" w:rsidP="009B7F28">
      <w:pPr>
        <w:numPr>
          <w:ilvl w:val="0"/>
          <w:numId w:val="23"/>
        </w:numPr>
        <w:tabs>
          <w:tab w:val="clear" w:pos="720"/>
        </w:tabs>
        <w:ind w:left="841" w:right="142" w:hanging="284"/>
        <w:jc w:val="both"/>
        <w:rPr>
          <w:rFonts w:ascii="Arial" w:eastAsia="Times New Roman" w:hAnsi="Arial" w:cs="Arial"/>
          <w:color w:val="2E3A4C"/>
          <w:lang w:eastAsia="fr-FR"/>
        </w:rPr>
      </w:pPr>
      <w:r w:rsidRPr="009B7F28">
        <w:rPr>
          <w:rFonts w:ascii="Arial" w:eastAsia="Times New Roman" w:hAnsi="Arial" w:cs="Arial"/>
          <w:color w:val="2E3A4C"/>
          <w:lang w:eastAsia="fr-FR"/>
        </w:rPr>
        <w:t>Peuvent bénéficier des aides du Fonds, les organismes ou associations contribuant à l’insertion professionnelle des PSH dans la Fonction publique ayant conclu une convention avec le FIPHFP</w:t>
      </w:r>
    </w:p>
    <w:p w14:paraId="79B711A7" w14:textId="38997EB1" w:rsidR="009B7F28" w:rsidRDefault="009B7F28" w:rsidP="009B7F28">
      <w:pPr>
        <w:ind w:left="426" w:right="142"/>
        <w:jc w:val="both"/>
        <w:rPr>
          <w:rFonts w:ascii="Arial" w:hAnsi="Arial" w:cs="Arial"/>
          <w:szCs w:val="22"/>
        </w:rPr>
      </w:pPr>
    </w:p>
    <w:p w14:paraId="739E15F4" w14:textId="77777777" w:rsidR="00737346" w:rsidRDefault="00737346" w:rsidP="009B7F28">
      <w:pPr>
        <w:ind w:left="426" w:right="142"/>
        <w:jc w:val="both"/>
        <w:rPr>
          <w:rFonts w:ascii="Arial" w:hAnsi="Arial" w:cs="Arial"/>
          <w:szCs w:val="22"/>
        </w:rPr>
      </w:pPr>
    </w:p>
    <w:p w14:paraId="30CABA8E" w14:textId="77777777" w:rsidR="00737346" w:rsidRDefault="00737346" w:rsidP="009B7F28">
      <w:pPr>
        <w:ind w:left="426" w:right="142"/>
        <w:jc w:val="both"/>
        <w:rPr>
          <w:rFonts w:ascii="Arial" w:hAnsi="Arial" w:cs="Arial"/>
          <w:szCs w:val="22"/>
        </w:rPr>
      </w:pPr>
    </w:p>
    <w:p w14:paraId="7F2D19B7" w14:textId="77777777" w:rsidR="009B7F28" w:rsidRPr="00737346" w:rsidRDefault="009B7F28" w:rsidP="00737346">
      <w:pPr>
        <w:pStyle w:val="Paragraphedeliste"/>
        <w:numPr>
          <w:ilvl w:val="1"/>
          <w:numId w:val="28"/>
        </w:numPr>
        <w:ind w:left="426" w:right="142" w:firstLine="0"/>
        <w:contextualSpacing/>
        <w:jc w:val="both"/>
        <w:rPr>
          <w:rFonts w:ascii="Arial" w:hAnsi="Arial" w:cs="Arial"/>
          <w:b/>
          <w:i/>
        </w:rPr>
      </w:pPr>
      <w:r w:rsidRPr="00737346">
        <w:rPr>
          <w:rFonts w:ascii="Arial" w:hAnsi="Arial" w:cs="Arial"/>
          <w:b/>
          <w:i/>
        </w:rPr>
        <w:t>Article 91 (conditions d’application précisées par décret en Conseil d’État)</w:t>
      </w:r>
    </w:p>
    <w:p w14:paraId="6B0EA5C8" w14:textId="5BDD0688" w:rsidR="00737346" w:rsidRPr="009B7F28" w:rsidRDefault="00737346" w:rsidP="00737346">
      <w:pPr>
        <w:pStyle w:val="Paragraphedeliste"/>
        <w:spacing w:before="120" w:after="60"/>
        <w:ind w:left="426" w:right="142"/>
        <w:jc w:val="both"/>
        <w:rPr>
          <w:rFonts w:ascii="Arial" w:eastAsia="Times New Roman" w:hAnsi="Arial" w:cs="Arial"/>
          <w:color w:val="2E3A4C"/>
          <w:lang w:eastAsia="fr-FR"/>
        </w:rPr>
      </w:pPr>
      <w:r>
        <w:rPr>
          <w:rFonts w:ascii="Arial" w:hAnsi="Arial" w:cs="Arial"/>
          <w:i/>
          <w:u w:val="single"/>
        </w:rPr>
        <w:t>L’apprentissage</w:t>
      </w:r>
    </w:p>
    <w:p w14:paraId="48064DF0" w14:textId="6C6F2829" w:rsidR="009B7F28" w:rsidRPr="00737346" w:rsidRDefault="009B7F28" w:rsidP="00737346">
      <w:pPr>
        <w:numPr>
          <w:ilvl w:val="0"/>
          <w:numId w:val="23"/>
        </w:numPr>
        <w:tabs>
          <w:tab w:val="clear" w:pos="720"/>
        </w:tabs>
        <w:ind w:left="841" w:right="142" w:hanging="284"/>
        <w:jc w:val="both"/>
        <w:rPr>
          <w:rFonts w:ascii="Arial" w:eastAsia="Times New Roman" w:hAnsi="Arial" w:cs="Arial"/>
          <w:color w:val="2E3A4C"/>
          <w:lang w:eastAsia="fr-FR"/>
        </w:rPr>
      </w:pPr>
      <w:r w:rsidRPr="00737346">
        <w:rPr>
          <w:rFonts w:ascii="Arial" w:eastAsia="Times New Roman" w:hAnsi="Arial" w:cs="Arial"/>
          <w:color w:val="2E3A4C"/>
          <w:lang w:eastAsia="fr-FR"/>
        </w:rPr>
        <w:t>À titre expérimental et pour une durée de 5 ans à compter de la publication de la présente loi, les apprentis en situation de handicap peuvent être titularisés, à l’issue de leur contrat</w:t>
      </w:r>
      <w:r w:rsidR="00737346">
        <w:rPr>
          <w:rFonts w:ascii="Arial" w:eastAsia="Times New Roman" w:hAnsi="Arial" w:cs="Arial"/>
          <w:color w:val="2E3A4C"/>
          <w:lang w:eastAsia="fr-FR"/>
        </w:rPr>
        <w:t>.</w:t>
      </w:r>
    </w:p>
    <w:p w14:paraId="34E8D3D8" w14:textId="6C63A449" w:rsidR="009B7F28" w:rsidRDefault="009B7F28" w:rsidP="009B7F28">
      <w:pPr>
        <w:ind w:left="426" w:right="142"/>
        <w:jc w:val="both"/>
        <w:rPr>
          <w:rFonts w:ascii="Arial" w:hAnsi="Arial" w:cs="Arial"/>
        </w:rPr>
      </w:pPr>
    </w:p>
    <w:p w14:paraId="45A28865" w14:textId="0757588C" w:rsidR="00737346" w:rsidRDefault="00737346" w:rsidP="009B7F28">
      <w:pPr>
        <w:ind w:left="426" w:right="142"/>
        <w:jc w:val="both"/>
        <w:rPr>
          <w:rFonts w:ascii="Arial" w:hAnsi="Arial" w:cs="Arial"/>
        </w:rPr>
      </w:pPr>
    </w:p>
    <w:p w14:paraId="3CEC9BC5" w14:textId="5C20B526" w:rsidR="00737346" w:rsidRDefault="00737346" w:rsidP="009B7F28">
      <w:pPr>
        <w:ind w:left="426" w:right="142"/>
        <w:jc w:val="both"/>
        <w:rPr>
          <w:rFonts w:ascii="Arial" w:hAnsi="Arial" w:cs="Arial"/>
        </w:rPr>
      </w:pPr>
    </w:p>
    <w:p w14:paraId="6DD251D0" w14:textId="77777777" w:rsidR="00737346" w:rsidRDefault="00737346" w:rsidP="009B7F28">
      <w:pPr>
        <w:ind w:left="426" w:right="142"/>
        <w:jc w:val="both"/>
        <w:rPr>
          <w:rFonts w:ascii="Arial" w:hAnsi="Arial" w:cs="Arial"/>
        </w:rPr>
      </w:pPr>
    </w:p>
    <w:p w14:paraId="6313DDA8" w14:textId="77777777" w:rsidR="009B7F28" w:rsidRPr="00737346" w:rsidRDefault="009B7F28" w:rsidP="00737346">
      <w:pPr>
        <w:pStyle w:val="Paragraphedeliste"/>
        <w:numPr>
          <w:ilvl w:val="1"/>
          <w:numId w:val="28"/>
        </w:numPr>
        <w:ind w:left="426" w:right="142" w:firstLine="0"/>
        <w:contextualSpacing/>
        <w:jc w:val="both"/>
        <w:rPr>
          <w:rFonts w:ascii="Arial" w:hAnsi="Arial" w:cs="Arial"/>
          <w:b/>
          <w:i/>
        </w:rPr>
      </w:pPr>
      <w:r w:rsidRPr="00737346">
        <w:rPr>
          <w:rFonts w:ascii="Arial" w:hAnsi="Arial" w:cs="Arial"/>
          <w:b/>
          <w:i/>
        </w:rPr>
        <w:t>Article 92 (conditions d’application précisées par décret en Conseil d’État)</w:t>
      </w:r>
    </w:p>
    <w:p w14:paraId="7C9BBAE7" w14:textId="20DA2DDB" w:rsidR="00737346" w:rsidRPr="009B7F28" w:rsidRDefault="00737346" w:rsidP="00737346">
      <w:pPr>
        <w:pStyle w:val="Paragraphedeliste"/>
        <w:spacing w:before="120" w:after="60"/>
        <w:ind w:left="426" w:right="142"/>
        <w:jc w:val="both"/>
        <w:rPr>
          <w:rFonts w:ascii="Arial" w:eastAsia="Times New Roman" w:hAnsi="Arial" w:cs="Arial"/>
          <w:color w:val="2E3A4C"/>
          <w:lang w:eastAsia="fr-FR"/>
        </w:rPr>
      </w:pPr>
      <w:r>
        <w:rPr>
          <w:rFonts w:ascii="Arial" w:hAnsi="Arial" w:cs="Arial"/>
          <w:i/>
          <w:u w:val="single"/>
        </w:rPr>
        <w:t>La carrière de l’agent en situation de handicap</w:t>
      </w:r>
    </w:p>
    <w:p w14:paraId="79301B4E" w14:textId="77777777" w:rsidR="009B7F28" w:rsidRPr="00737346" w:rsidRDefault="009B7F28" w:rsidP="00737346">
      <w:pPr>
        <w:numPr>
          <w:ilvl w:val="0"/>
          <w:numId w:val="23"/>
        </w:numPr>
        <w:tabs>
          <w:tab w:val="clear" w:pos="720"/>
        </w:tabs>
        <w:ind w:left="841" w:right="142" w:hanging="284"/>
        <w:jc w:val="both"/>
        <w:rPr>
          <w:rFonts w:ascii="Arial" w:eastAsia="Times New Roman" w:hAnsi="Arial" w:cs="Arial"/>
          <w:color w:val="2E3A4C"/>
          <w:lang w:eastAsia="fr-FR"/>
        </w:rPr>
      </w:pPr>
      <w:r w:rsidRPr="00737346">
        <w:rPr>
          <w:rFonts w:ascii="Arial" w:eastAsia="Times New Roman" w:hAnsi="Arial" w:cs="Arial"/>
          <w:color w:val="2E3A4C"/>
          <w:lang w:eastAsia="fr-FR"/>
        </w:rPr>
        <w:t>Les employeurs doivent permettre aux TSH de développer un parcours professionnel et d’accéder à des fonctions de niveau supérieur ainsi que de bénéficier d’une formation adaptée à leurs besoins tout au long de leur vie professionnelle</w:t>
      </w:r>
    </w:p>
    <w:p w14:paraId="45946BAF" w14:textId="6894F774" w:rsidR="009B7F28" w:rsidRPr="00737346" w:rsidRDefault="009B7F28" w:rsidP="00737346">
      <w:pPr>
        <w:numPr>
          <w:ilvl w:val="0"/>
          <w:numId w:val="23"/>
        </w:numPr>
        <w:tabs>
          <w:tab w:val="clear" w:pos="720"/>
        </w:tabs>
        <w:ind w:left="841" w:right="142" w:hanging="284"/>
        <w:jc w:val="both"/>
        <w:rPr>
          <w:rFonts w:ascii="Arial" w:eastAsia="Times New Roman" w:hAnsi="Arial" w:cs="Arial"/>
          <w:color w:val="2E3A4C"/>
          <w:lang w:eastAsia="fr-FR"/>
        </w:rPr>
      </w:pPr>
      <w:r w:rsidRPr="00737346">
        <w:rPr>
          <w:rFonts w:ascii="Arial" w:eastAsia="Times New Roman" w:hAnsi="Arial" w:cs="Arial"/>
          <w:color w:val="2E3A4C"/>
          <w:lang w:eastAsia="fr-FR"/>
        </w:rPr>
        <w:lastRenderedPageBreak/>
        <w:t>Tout agent pourra consulter un référent handicap, chargé de l’accompagner tout au long de sa carrière</w:t>
      </w:r>
    </w:p>
    <w:p w14:paraId="69F3E539" w14:textId="77777777" w:rsidR="009B7F28" w:rsidRPr="00737346" w:rsidRDefault="009B7F28" w:rsidP="00737346">
      <w:pPr>
        <w:numPr>
          <w:ilvl w:val="0"/>
          <w:numId w:val="23"/>
        </w:numPr>
        <w:tabs>
          <w:tab w:val="clear" w:pos="720"/>
        </w:tabs>
        <w:ind w:left="841" w:right="142" w:hanging="284"/>
        <w:jc w:val="both"/>
        <w:rPr>
          <w:rFonts w:ascii="Arial" w:eastAsia="Times New Roman" w:hAnsi="Arial" w:cs="Arial"/>
          <w:color w:val="2E3A4C"/>
          <w:lang w:eastAsia="fr-FR"/>
        </w:rPr>
      </w:pPr>
      <w:r w:rsidRPr="00737346">
        <w:rPr>
          <w:rFonts w:ascii="Arial" w:eastAsia="Times New Roman" w:hAnsi="Arial" w:cs="Arial"/>
          <w:color w:val="2E3A4C"/>
          <w:lang w:eastAsia="fr-FR"/>
        </w:rPr>
        <w:t>Pour tout changement d’emploi dans le cadre d’une mobilité, les agents en situation de handicap pourront conserver leurs équipements contribuant à l’adaptation de leur poste de travail</w:t>
      </w:r>
    </w:p>
    <w:p w14:paraId="4CADB4F1" w14:textId="77777777" w:rsidR="009B7F28" w:rsidRPr="00737346" w:rsidRDefault="009B7F28" w:rsidP="00737346">
      <w:pPr>
        <w:numPr>
          <w:ilvl w:val="0"/>
          <w:numId w:val="23"/>
        </w:numPr>
        <w:tabs>
          <w:tab w:val="clear" w:pos="720"/>
        </w:tabs>
        <w:ind w:left="841" w:right="142" w:hanging="284"/>
        <w:jc w:val="both"/>
        <w:rPr>
          <w:rFonts w:ascii="Arial" w:eastAsia="Times New Roman" w:hAnsi="Arial" w:cs="Arial"/>
          <w:color w:val="2E3A4C"/>
          <w:lang w:eastAsia="fr-FR"/>
        </w:rPr>
      </w:pPr>
      <w:r w:rsidRPr="00737346">
        <w:rPr>
          <w:rFonts w:ascii="Arial" w:eastAsia="Times New Roman" w:hAnsi="Arial" w:cs="Arial"/>
          <w:color w:val="2E3A4C"/>
          <w:lang w:eastAsia="fr-FR"/>
        </w:rPr>
        <w:t>Le CNCPH est saisi pour avis des projets de loi, d’ordonnance et de décret relatifs à l’accueil, à l’insertion et au maintien dans l’emploi des PSH dans la Fonction publique</w:t>
      </w:r>
    </w:p>
    <w:p w14:paraId="3F035758" w14:textId="77777777" w:rsidR="009B7F28" w:rsidRPr="00737346" w:rsidRDefault="009B7F28" w:rsidP="00737346">
      <w:pPr>
        <w:numPr>
          <w:ilvl w:val="0"/>
          <w:numId w:val="23"/>
        </w:numPr>
        <w:tabs>
          <w:tab w:val="clear" w:pos="720"/>
        </w:tabs>
        <w:ind w:left="841" w:right="142" w:hanging="284"/>
        <w:jc w:val="both"/>
        <w:rPr>
          <w:rFonts w:ascii="Arial" w:eastAsia="Times New Roman" w:hAnsi="Arial" w:cs="Arial"/>
          <w:color w:val="2E3A4C"/>
          <w:lang w:eastAsia="fr-FR"/>
        </w:rPr>
      </w:pPr>
      <w:r w:rsidRPr="00737346">
        <w:rPr>
          <w:rFonts w:ascii="Arial" w:eastAsia="Times New Roman" w:hAnsi="Arial" w:cs="Arial"/>
          <w:color w:val="2E3A4C"/>
          <w:lang w:eastAsia="fr-FR"/>
        </w:rPr>
        <w:t>Aucun candidat ne peut être écarté, en raison de son handicap, d’un concours ou d’un emploi de la Fonction publique, sauf si son handicap est incompatible avec la fonction postulée</w:t>
      </w:r>
    </w:p>
    <w:p w14:paraId="7E3AA3FB" w14:textId="77777777" w:rsidR="009B7F28" w:rsidRPr="00737346" w:rsidRDefault="009B7F28" w:rsidP="00737346">
      <w:pPr>
        <w:numPr>
          <w:ilvl w:val="0"/>
          <w:numId w:val="23"/>
        </w:numPr>
        <w:tabs>
          <w:tab w:val="clear" w:pos="720"/>
        </w:tabs>
        <w:ind w:left="841" w:right="142" w:hanging="284"/>
        <w:jc w:val="both"/>
        <w:rPr>
          <w:rFonts w:ascii="Arial" w:eastAsia="Times New Roman" w:hAnsi="Arial" w:cs="Arial"/>
          <w:color w:val="2E3A4C"/>
          <w:lang w:eastAsia="fr-FR"/>
        </w:rPr>
      </w:pPr>
      <w:r w:rsidRPr="00737346">
        <w:rPr>
          <w:rFonts w:ascii="Arial" w:eastAsia="Times New Roman" w:hAnsi="Arial" w:cs="Arial"/>
          <w:color w:val="2E3A4C"/>
          <w:lang w:eastAsia="fr-FR"/>
        </w:rPr>
        <w:t>Dérogations prévues pour adapter la durée et le fractionnement des épreuves à la situation des candidats ou pour leur apporter des aides humaines et techniques</w:t>
      </w:r>
    </w:p>
    <w:p w14:paraId="2AB1CC4C" w14:textId="77777777" w:rsidR="009B7F28" w:rsidRDefault="009B7F28" w:rsidP="009B7F28">
      <w:pPr>
        <w:ind w:left="426" w:right="142"/>
        <w:jc w:val="both"/>
        <w:rPr>
          <w:rFonts w:ascii="Arial" w:hAnsi="Arial" w:cs="Arial"/>
        </w:rPr>
      </w:pPr>
    </w:p>
    <w:p w14:paraId="01F739AF" w14:textId="77777777" w:rsidR="009B7F28" w:rsidRDefault="009B7F28" w:rsidP="009B7F28">
      <w:pPr>
        <w:ind w:left="426" w:right="142"/>
        <w:jc w:val="both"/>
        <w:rPr>
          <w:rFonts w:ascii="Arial" w:hAnsi="Arial" w:cs="Arial"/>
        </w:rPr>
      </w:pPr>
    </w:p>
    <w:p w14:paraId="046C994A" w14:textId="77777777" w:rsidR="009B7F28" w:rsidRPr="00737346" w:rsidRDefault="009B7F28" w:rsidP="009B7F28">
      <w:pPr>
        <w:pStyle w:val="Paragraphedeliste"/>
        <w:numPr>
          <w:ilvl w:val="0"/>
          <w:numId w:val="28"/>
        </w:numPr>
        <w:ind w:left="426" w:right="142" w:firstLine="0"/>
        <w:contextualSpacing/>
        <w:jc w:val="both"/>
        <w:rPr>
          <w:rFonts w:ascii="Arial" w:hAnsi="Arial" w:cs="Arial"/>
          <w:color w:val="0070C0"/>
          <w:sz w:val="24"/>
        </w:rPr>
      </w:pPr>
      <w:r w:rsidRPr="00737346">
        <w:rPr>
          <w:rFonts w:ascii="Arial" w:hAnsi="Arial" w:cs="Arial"/>
          <w:color w:val="0070C0"/>
          <w:sz w:val="24"/>
        </w:rPr>
        <w:t>Les changements opérés au niveau des différents dispositifs</w:t>
      </w:r>
    </w:p>
    <w:p w14:paraId="55414D87" w14:textId="77777777" w:rsidR="009B7F28" w:rsidRDefault="009B7F28" w:rsidP="009B7F28">
      <w:pPr>
        <w:ind w:left="426" w:right="142"/>
        <w:jc w:val="both"/>
        <w:rPr>
          <w:rFonts w:ascii="Arial" w:hAnsi="Arial" w:cs="Arial"/>
        </w:rPr>
      </w:pPr>
    </w:p>
    <w:p w14:paraId="454813DE" w14:textId="77777777" w:rsidR="009B7F28" w:rsidRDefault="009B7F28" w:rsidP="009B7F28">
      <w:pPr>
        <w:pStyle w:val="Paragraphedeliste"/>
        <w:numPr>
          <w:ilvl w:val="1"/>
          <w:numId w:val="28"/>
        </w:numPr>
        <w:ind w:left="426" w:right="142" w:firstLine="0"/>
        <w:contextualSpacing/>
        <w:jc w:val="both"/>
        <w:rPr>
          <w:rFonts w:ascii="Arial" w:hAnsi="Arial" w:cs="Arial"/>
          <w:b/>
          <w:i/>
        </w:rPr>
      </w:pPr>
      <w:r>
        <w:rPr>
          <w:rFonts w:ascii="Arial" w:hAnsi="Arial" w:cs="Arial"/>
          <w:b/>
          <w:i/>
        </w:rPr>
        <w:t>La PPR :</w:t>
      </w:r>
    </w:p>
    <w:p w14:paraId="792F026A"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r>
        <w:rPr>
          <w:rFonts w:ascii="Arial" w:hAnsi="Arial" w:cs="Arial"/>
          <w:color w:val="333333"/>
          <w:sz w:val="22"/>
          <w:szCs w:val="22"/>
        </w:rPr>
        <w:t>Pendant son congé pour raisons de santé, le fonctionnaire peut, sur la base du volontariat et avec l’accord de son médecin traitant, suivre une formation qualifiante ou un bilan de compétences. Pendant cette période, l’agent peut également être mis à disposition du Centre de Gestion afin d’exercer une mission de remplacement. L’article 40 crée un nouvel article 108-3-1 dans la loi du 26 janvier 1984 selon lequel les agents qui occupent des emplois présentant des risques d’usure professionnelle bénéficient d’un entretien de carrière dans des conditions fixées par décret en Conseil d'</w:t>
      </w:r>
      <w:proofErr w:type="spellStart"/>
      <w:r>
        <w:rPr>
          <w:rFonts w:ascii="Arial" w:hAnsi="Arial" w:cs="Arial"/>
          <w:color w:val="333333"/>
          <w:sz w:val="22"/>
          <w:szCs w:val="22"/>
        </w:rPr>
        <w:t>Etat</w:t>
      </w:r>
      <w:proofErr w:type="spellEnd"/>
      <w:r>
        <w:rPr>
          <w:rFonts w:ascii="Arial" w:hAnsi="Arial" w:cs="Arial"/>
          <w:color w:val="333333"/>
          <w:sz w:val="22"/>
          <w:szCs w:val="22"/>
        </w:rPr>
        <w:t>.</w:t>
      </w:r>
    </w:p>
    <w:p w14:paraId="1B7C8363" w14:textId="77777777" w:rsidR="009B7F28" w:rsidRDefault="009B7F28" w:rsidP="009B7F28">
      <w:pPr>
        <w:ind w:left="426" w:right="142"/>
        <w:jc w:val="both"/>
        <w:rPr>
          <w:rFonts w:ascii="Arial" w:hAnsi="Arial" w:cs="Arial"/>
          <w:szCs w:val="22"/>
        </w:rPr>
      </w:pPr>
    </w:p>
    <w:p w14:paraId="12C92F94" w14:textId="77777777" w:rsidR="009B7F28" w:rsidRDefault="009B7F28" w:rsidP="009B7F28">
      <w:pPr>
        <w:pStyle w:val="Paragraphedeliste"/>
        <w:numPr>
          <w:ilvl w:val="1"/>
          <w:numId w:val="28"/>
        </w:numPr>
        <w:ind w:left="426" w:right="142" w:firstLine="0"/>
        <w:contextualSpacing/>
        <w:jc w:val="both"/>
        <w:rPr>
          <w:rFonts w:ascii="Arial" w:hAnsi="Arial" w:cs="Arial"/>
          <w:b/>
          <w:i/>
        </w:rPr>
      </w:pPr>
      <w:r>
        <w:rPr>
          <w:rFonts w:ascii="Arial" w:hAnsi="Arial" w:cs="Arial"/>
          <w:b/>
          <w:i/>
        </w:rPr>
        <w:t>La formation et l’apprentissage :</w:t>
      </w:r>
    </w:p>
    <w:p w14:paraId="4B330699"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r>
        <w:rPr>
          <w:rFonts w:ascii="Arial" w:hAnsi="Arial" w:cs="Arial"/>
          <w:color w:val="333333"/>
          <w:sz w:val="22"/>
          <w:szCs w:val="22"/>
        </w:rPr>
        <w:t>En vertu des dispositions de l’article 65, dans un délai d’un an à compter de la promulgation de la loi, le Gouvernement remet au Parlement un rapport sur les freins au développement de l’Apprentissage dans la fonction publique, en particulier au sein des Administrations d’</w:t>
      </w:r>
      <w:proofErr w:type="spellStart"/>
      <w:r>
        <w:rPr>
          <w:rFonts w:ascii="Arial" w:hAnsi="Arial" w:cs="Arial"/>
          <w:color w:val="333333"/>
          <w:sz w:val="22"/>
          <w:szCs w:val="22"/>
        </w:rPr>
        <w:t>Etat</w:t>
      </w:r>
      <w:proofErr w:type="spellEnd"/>
      <w:r>
        <w:rPr>
          <w:rFonts w:ascii="Arial" w:hAnsi="Arial" w:cs="Arial"/>
          <w:color w:val="333333"/>
          <w:sz w:val="22"/>
          <w:szCs w:val="22"/>
        </w:rPr>
        <w:t>, des collectivités territoriales et des établissements publics.</w:t>
      </w:r>
    </w:p>
    <w:p w14:paraId="7F910082" w14:textId="7FBAFAB5"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r>
        <w:rPr>
          <w:rFonts w:ascii="Arial" w:hAnsi="Arial" w:cs="Arial"/>
          <w:color w:val="333333"/>
          <w:sz w:val="22"/>
          <w:szCs w:val="22"/>
        </w:rPr>
        <w:t>Ce rapport identifie les mesures envisageables afin de lever ces freins et favoriser l’embauche d’apprentis.</w:t>
      </w:r>
    </w:p>
    <w:p w14:paraId="447D86CB" w14:textId="77777777" w:rsidR="00737346" w:rsidRPr="00737346" w:rsidRDefault="00737346" w:rsidP="00737346">
      <w:pPr>
        <w:ind w:left="426" w:right="142"/>
        <w:jc w:val="both"/>
        <w:rPr>
          <w:rFonts w:ascii="Arial" w:eastAsia="Times New Roman" w:hAnsi="Arial" w:cs="Arial"/>
          <w:color w:val="2E3A4C"/>
          <w:lang w:eastAsia="fr-FR"/>
        </w:rPr>
      </w:pPr>
      <w:r w:rsidRPr="00737346">
        <w:rPr>
          <w:rFonts w:ascii="Arial" w:eastAsia="Times New Roman" w:hAnsi="Arial" w:cs="Arial"/>
          <w:color w:val="2E3A4C"/>
          <w:lang w:eastAsia="fr-FR"/>
        </w:rPr>
        <w:t>À titre expérimental et pour une durée de 5 ans à compter de la publication de la présente loi, les apprentis en situation de handicap peuvent être titularisés, à l’issue de leur contrat</w:t>
      </w:r>
      <w:r>
        <w:rPr>
          <w:rFonts w:ascii="Arial" w:eastAsia="Times New Roman" w:hAnsi="Arial" w:cs="Arial"/>
          <w:color w:val="2E3A4C"/>
          <w:lang w:eastAsia="fr-FR"/>
        </w:rPr>
        <w:t>.</w:t>
      </w:r>
    </w:p>
    <w:p w14:paraId="4330DC3A" w14:textId="77777777" w:rsidR="00737346" w:rsidRDefault="00737346"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p>
    <w:p w14:paraId="78CD6EC3" w14:textId="77777777" w:rsidR="009B7F28" w:rsidRDefault="009B7F28" w:rsidP="009B7F28">
      <w:pPr>
        <w:ind w:left="426" w:right="142"/>
        <w:jc w:val="both"/>
        <w:rPr>
          <w:rFonts w:ascii="Arial" w:hAnsi="Arial" w:cs="Arial"/>
          <w:szCs w:val="22"/>
        </w:rPr>
      </w:pPr>
    </w:p>
    <w:p w14:paraId="7C1F32A3" w14:textId="77777777" w:rsidR="009B7F28" w:rsidRDefault="009B7F28" w:rsidP="009B7F28">
      <w:pPr>
        <w:ind w:left="426" w:right="142"/>
        <w:jc w:val="both"/>
        <w:rPr>
          <w:rFonts w:ascii="Arial" w:hAnsi="Arial" w:cs="Arial"/>
        </w:rPr>
      </w:pPr>
    </w:p>
    <w:p w14:paraId="53E68489" w14:textId="77777777" w:rsidR="009B7F28" w:rsidRPr="00737346" w:rsidRDefault="009B7F28" w:rsidP="009B7F28">
      <w:pPr>
        <w:pStyle w:val="Paragraphedeliste"/>
        <w:numPr>
          <w:ilvl w:val="0"/>
          <w:numId w:val="28"/>
        </w:numPr>
        <w:ind w:left="426" w:right="142" w:firstLine="0"/>
        <w:contextualSpacing/>
        <w:jc w:val="both"/>
        <w:rPr>
          <w:rFonts w:ascii="Arial" w:hAnsi="Arial" w:cs="Arial"/>
          <w:color w:val="0070C0"/>
          <w:sz w:val="24"/>
        </w:rPr>
      </w:pPr>
      <w:r w:rsidRPr="00737346">
        <w:rPr>
          <w:rFonts w:ascii="Arial" w:hAnsi="Arial" w:cs="Arial"/>
          <w:color w:val="0070C0"/>
          <w:sz w:val="24"/>
        </w:rPr>
        <w:t>Les dispositions concernant nos partenaires</w:t>
      </w:r>
    </w:p>
    <w:p w14:paraId="4D775635" w14:textId="77777777" w:rsidR="009B7F28" w:rsidRDefault="009B7F28" w:rsidP="009B7F28">
      <w:pPr>
        <w:ind w:left="426" w:right="142"/>
        <w:jc w:val="both"/>
        <w:rPr>
          <w:rFonts w:ascii="Arial" w:hAnsi="Arial" w:cs="Arial"/>
        </w:rPr>
      </w:pPr>
    </w:p>
    <w:p w14:paraId="7633124E" w14:textId="77777777" w:rsidR="009B7F28" w:rsidRDefault="009B7F28" w:rsidP="009B7F28">
      <w:pPr>
        <w:pStyle w:val="Paragraphedeliste"/>
        <w:numPr>
          <w:ilvl w:val="1"/>
          <w:numId w:val="28"/>
        </w:numPr>
        <w:ind w:left="426" w:right="142" w:firstLine="0"/>
        <w:contextualSpacing/>
        <w:jc w:val="both"/>
        <w:rPr>
          <w:rFonts w:ascii="Arial" w:hAnsi="Arial" w:cs="Arial"/>
          <w:b/>
          <w:i/>
        </w:rPr>
      </w:pPr>
      <w:r>
        <w:rPr>
          <w:rFonts w:ascii="Arial" w:hAnsi="Arial" w:cs="Arial"/>
          <w:b/>
          <w:i/>
        </w:rPr>
        <w:t>Article 21 : Les missions facultatives des Centres de Gestion</w:t>
      </w:r>
    </w:p>
    <w:p w14:paraId="20523F7C"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r>
        <w:rPr>
          <w:rFonts w:ascii="Arial" w:hAnsi="Arial" w:cs="Arial"/>
          <w:color w:val="333333"/>
          <w:sz w:val="22"/>
          <w:szCs w:val="22"/>
        </w:rPr>
        <w:t>La mission de conseil en organisation.</w:t>
      </w:r>
    </w:p>
    <w:p w14:paraId="0E5A4959"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r>
        <w:rPr>
          <w:rFonts w:ascii="Arial" w:hAnsi="Arial" w:cs="Arial"/>
          <w:color w:val="333333"/>
          <w:sz w:val="22"/>
          <w:szCs w:val="22"/>
        </w:rPr>
        <w:t xml:space="preserve">Le conseil s’exerce notamment en matière d’emploi et de gestion des ressources humaines. Les Centres de Gestion peuvent mettre à disposition des collectivités et établissements qui le demandent des agents fonctionnaires ou contractuels afin d’assurer le remplacement d’agents, assurer des missions temporaires, pourvoir la vacance d’un emploi qui ne peut être immédiatement pourvu </w:t>
      </w:r>
      <w:proofErr w:type="gramStart"/>
      <w:r>
        <w:rPr>
          <w:rFonts w:ascii="Arial" w:hAnsi="Arial" w:cs="Arial"/>
          <w:color w:val="333333"/>
          <w:sz w:val="22"/>
          <w:szCs w:val="22"/>
        </w:rPr>
        <w:t>ou</w:t>
      </w:r>
      <w:proofErr w:type="gramEnd"/>
      <w:r>
        <w:rPr>
          <w:rFonts w:ascii="Arial" w:hAnsi="Arial" w:cs="Arial"/>
          <w:color w:val="333333"/>
          <w:sz w:val="22"/>
          <w:szCs w:val="22"/>
        </w:rPr>
        <w:t xml:space="preserve"> affecter ces agents mis à disposition à des missions permanentes à temps complet ou non complet.</w:t>
      </w:r>
    </w:p>
    <w:p w14:paraId="38BC91E1" w14:textId="77777777" w:rsidR="009B7F28" w:rsidRDefault="009B7F28" w:rsidP="009B7F28">
      <w:pPr>
        <w:ind w:left="426" w:right="142"/>
        <w:jc w:val="both"/>
        <w:rPr>
          <w:rFonts w:ascii="Arial" w:hAnsi="Arial" w:cs="Arial"/>
          <w:szCs w:val="22"/>
        </w:rPr>
      </w:pPr>
    </w:p>
    <w:p w14:paraId="35354792" w14:textId="77777777" w:rsidR="009B7F28" w:rsidRDefault="009B7F28" w:rsidP="009B7F28">
      <w:pPr>
        <w:pStyle w:val="Paragraphedeliste"/>
        <w:numPr>
          <w:ilvl w:val="1"/>
          <w:numId w:val="28"/>
        </w:numPr>
        <w:ind w:left="426" w:right="142" w:firstLine="0"/>
        <w:contextualSpacing/>
        <w:jc w:val="both"/>
        <w:rPr>
          <w:rFonts w:ascii="Arial" w:hAnsi="Arial" w:cs="Arial"/>
          <w:b/>
          <w:i/>
        </w:rPr>
      </w:pPr>
      <w:r>
        <w:rPr>
          <w:rFonts w:ascii="Arial" w:hAnsi="Arial" w:cs="Arial"/>
          <w:b/>
          <w:i/>
        </w:rPr>
        <w:t>Prévention et médecine statutaire / Centres de gestion</w:t>
      </w:r>
    </w:p>
    <w:p w14:paraId="580775EB"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r>
        <w:rPr>
          <w:rFonts w:ascii="Arial" w:hAnsi="Arial" w:cs="Arial"/>
          <w:color w:val="333333"/>
          <w:sz w:val="22"/>
          <w:szCs w:val="22"/>
        </w:rPr>
        <w:t>L’article 40 de la loi ouvre la possibilité de développement de la mission de médecine statutaire et de contrôle, dans l’ensemble des Centres de Gestion et intègre la possibilité pour les Centres de Gestion d’exercer la médecine professionnelle et préventive pour les services de l’</w:t>
      </w:r>
      <w:proofErr w:type="spellStart"/>
      <w:r>
        <w:rPr>
          <w:rFonts w:ascii="Arial" w:hAnsi="Arial" w:cs="Arial"/>
          <w:color w:val="333333"/>
          <w:sz w:val="22"/>
          <w:szCs w:val="22"/>
        </w:rPr>
        <w:t>Etat</w:t>
      </w:r>
      <w:proofErr w:type="spellEnd"/>
      <w:r>
        <w:rPr>
          <w:rFonts w:ascii="Arial" w:hAnsi="Arial" w:cs="Arial"/>
          <w:color w:val="333333"/>
          <w:sz w:val="22"/>
          <w:szCs w:val="22"/>
        </w:rPr>
        <w:t>, de l’Hospitalière et de leurs établissements publics.</w:t>
      </w:r>
    </w:p>
    <w:p w14:paraId="314395F5"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p>
    <w:p w14:paraId="08DCACD4" w14:textId="77777777" w:rsidR="009B7F28" w:rsidRDefault="009B7F28" w:rsidP="009B7F28">
      <w:pPr>
        <w:pStyle w:val="Paragraphedeliste"/>
        <w:numPr>
          <w:ilvl w:val="1"/>
          <w:numId w:val="28"/>
        </w:numPr>
        <w:ind w:left="426" w:right="142" w:firstLine="0"/>
        <w:contextualSpacing/>
        <w:jc w:val="both"/>
        <w:rPr>
          <w:rFonts w:ascii="Arial" w:hAnsi="Arial" w:cs="Arial"/>
          <w:b/>
          <w:i/>
        </w:rPr>
      </w:pPr>
      <w:r>
        <w:rPr>
          <w:rFonts w:ascii="Arial" w:hAnsi="Arial" w:cs="Arial"/>
          <w:b/>
          <w:i/>
        </w:rPr>
        <w:t>Regroupement des Centres de gestion et mutualisation</w:t>
      </w:r>
    </w:p>
    <w:p w14:paraId="14DEE5CF"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r>
        <w:rPr>
          <w:rFonts w:ascii="Arial" w:hAnsi="Arial" w:cs="Arial"/>
          <w:color w:val="333333"/>
          <w:sz w:val="22"/>
          <w:szCs w:val="22"/>
        </w:rPr>
        <w:t xml:space="preserve">L’article 50 prévoit que des Centres de Gestion limitrophes ou d’outre-mer mais relevant de la même zone géographique, peuvent décider, après avis de leurs instances, de constituer un centre interdépartemental unique. </w:t>
      </w:r>
    </w:p>
    <w:p w14:paraId="4622F0CB"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p>
    <w:p w14:paraId="457C773C"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r>
        <w:rPr>
          <w:rFonts w:ascii="Arial" w:hAnsi="Arial" w:cs="Arial"/>
          <w:color w:val="333333"/>
          <w:sz w:val="22"/>
          <w:szCs w:val="22"/>
        </w:rPr>
        <w:lastRenderedPageBreak/>
        <w:t>Est instaurée une obligation pour les Centres de Gestion d’élaboration d’un schéma de coordination, de mutualisation et de spécialisation au niveau régional en remplacement des actuelles chartes de coopération. Ce schéma détermine les modalités d’exercice des missions que les Centres de Gestion gèrent en commun.</w:t>
      </w:r>
    </w:p>
    <w:p w14:paraId="52F70A51"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r>
        <w:rPr>
          <w:rFonts w:ascii="Arial" w:hAnsi="Arial" w:cs="Arial"/>
          <w:color w:val="333333"/>
          <w:sz w:val="22"/>
          <w:szCs w:val="22"/>
        </w:rPr>
        <w:t>Les Centres de Gestion exerceront en commun à un niveau au moins régional de six nouvelles missions :</w:t>
      </w:r>
    </w:p>
    <w:p w14:paraId="6A53B73D" w14:textId="77777777" w:rsidR="009B7F28" w:rsidRPr="00737346" w:rsidRDefault="009B7F28" w:rsidP="00737346">
      <w:pPr>
        <w:numPr>
          <w:ilvl w:val="0"/>
          <w:numId w:val="23"/>
        </w:numPr>
        <w:tabs>
          <w:tab w:val="clear" w:pos="720"/>
        </w:tabs>
        <w:ind w:left="841" w:right="142" w:hanging="284"/>
        <w:jc w:val="both"/>
        <w:rPr>
          <w:rFonts w:ascii="Arial" w:eastAsia="Times New Roman" w:hAnsi="Arial" w:cs="Arial"/>
          <w:color w:val="2E3A4C"/>
          <w:lang w:eastAsia="fr-FR"/>
        </w:rPr>
      </w:pPr>
      <w:r w:rsidRPr="00737346">
        <w:rPr>
          <w:rFonts w:ascii="Arial" w:eastAsia="Times New Roman" w:hAnsi="Arial" w:cs="Arial"/>
          <w:color w:val="2E3A4C"/>
          <w:lang w:eastAsia="fr-FR"/>
        </w:rPr>
        <w:t>Publicité des créations et vacances d’emploi de catégorie B et C,</w:t>
      </w:r>
    </w:p>
    <w:p w14:paraId="28A99BFE" w14:textId="77777777" w:rsidR="009B7F28" w:rsidRPr="00737346" w:rsidRDefault="009B7F28" w:rsidP="00737346">
      <w:pPr>
        <w:numPr>
          <w:ilvl w:val="0"/>
          <w:numId w:val="23"/>
        </w:numPr>
        <w:tabs>
          <w:tab w:val="clear" w:pos="720"/>
        </w:tabs>
        <w:ind w:left="841" w:right="142" w:hanging="284"/>
        <w:jc w:val="both"/>
        <w:rPr>
          <w:rFonts w:ascii="Arial" w:eastAsia="Times New Roman" w:hAnsi="Arial" w:cs="Arial"/>
          <w:color w:val="2E3A4C"/>
          <w:lang w:eastAsia="fr-FR"/>
        </w:rPr>
      </w:pPr>
      <w:r w:rsidRPr="00737346">
        <w:rPr>
          <w:rFonts w:ascii="Arial" w:eastAsia="Times New Roman" w:hAnsi="Arial" w:cs="Arial"/>
          <w:color w:val="2E3A4C"/>
          <w:lang w:eastAsia="fr-FR"/>
        </w:rPr>
        <w:t>Mission générale des Centres de Gestion d’information sur l’emploi public territorial pour l’ensemble des collectivités et bilan de la situation de l’emploi public territorial,</w:t>
      </w:r>
    </w:p>
    <w:p w14:paraId="0DD22A48" w14:textId="77777777" w:rsidR="009B7F28" w:rsidRPr="00737346" w:rsidRDefault="009B7F28" w:rsidP="00737346">
      <w:pPr>
        <w:numPr>
          <w:ilvl w:val="0"/>
          <w:numId w:val="23"/>
        </w:numPr>
        <w:tabs>
          <w:tab w:val="clear" w:pos="720"/>
        </w:tabs>
        <w:ind w:left="841" w:right="142" w:hanging="284"/>
        <w:jc w:val="both"/>
        <w:rPr>
          <w:rFonts w:ascii="Arial" w:eastAsia="Times New Roman" w:hAnsi="Arial" w:cs="Arial"/>
          <w:color w:val="2E3A4C"/>
          <w:lang w:eastAsia="fr-FR"/>
        </w:rPr>
      </w:pPr>
      <w:r w:rsidRPr="00737346">
        <w:rPr>
          <w:rFonts w:ascii="Arial" w:eastAsia="Times New Roman" w:hAnsi="Arial" w:cs="Arial"/>
          <w:color w:val="2E3A4C"/>
          <w:lang w:eastAsia="fr-FR"/>
        </w:rPr>
        <w:t>Publicité des listes d’aptitude,</w:t>
      </w:r>
    </w:p>
    <w:p w14:paraId="52ACB8D0" w14:textId="77777777" w:rsidR="009B7F28" w:rsidRPr="00737346" w:rsidRDefault="009B7F28" w:rsidP="00737346">
      <w:pPr>
        <w:numPr>
          <w:ilvl w:val="0"/>
          <w:numId w:val="23"/>
        </w:numPr>
        <w:tabs>
          <w:tab w:val="clear" w:pos="720"/>
        </w:tabs>
        <w:ind w:left="841" w:right="142" w:hanging="284"/>
        <w:jc w:val="both"/>
        <w:rPr>
          <w:rFonts w:ascii="Arial" w:eastAsia="Times New Roman" w:hAnsi="Arial" w:cs="Arial"/>
          <w:color w:val="2E3A4C"/>
          <w:lang w:eastAsia="fr-FR"/>
        </w:rPr>
      </w:pPr>
      <w:r w:rsidRPr="00737346">
        <w:rPr>
          <w:rFonts w:ascii="Arial" w:eastAsia="Times New Roman" w:hAnsi="Arial" w:cs="Arial"/>
          <w:color w:val="2E3A4C"/>
          <w:lang w:eastAsia="fr-FR"/>
        </w:rPr>
        <w:t>Aide aux fonctionnaires à la recherche d’un emploi après une période de disponibilité,</w:t>
      </w:r>
    </w:p>
    <w:p w14:paraId="473AE74B" w14:textId="77777777" w:rsidR="009B7F28" w:rsidRPr="00737346" w:rsidRDefault="009B7F28" w:rsidP="00737346">
      <w:pPr>
        <w:numPr>
          <w:ilvl w:val="0"/>
          <w:numId w:val="23"/>
        </w:numPr>
        <w:tabs>
          <w:tab w:val="clear" w:pos="720"/>
        </w:tabs>
        <w:ind w:left="841" w:right="142" w:hanging="284"/>
        <w:jc w:val="both"/>
        <w:rPr>
          <w:rFonts w:ascii="Arial" w:eastAsia="Times New Roman" w:hAnsi="Arial" w:cs="Arial"/>
          <w:color w:val="2E3A4C"/>
          <w:lang w:eastAsia="fr-FR"/>
        </w:rPr>
      </w:pPr>
      <w:r w:rsidRPr="00737346">
        <w:rPr>
          <w:rFonts w:ascii="Arial" w:eastAsia="Times New Roman" w:hAnsi="Arial" w:cs="Arial"/>
          <w:color w:val="2E3A4C"/>
          <w:lang w:eastAsia="fr-FR"/>
        </w:rPr>
        <w:t>Assistance juridique statutaire, y compris pour la fonction de référent déontologue,</w:t>
      </w:r>
    </w:p>
    <w:p w14:paraId="39C7F905" w14:textId="77777777" w:rsidR="009B7F28" w:rsidRPr="00737346" w:rsidRDefault="009B7F28" w:rsidP="00737346">
      <w:pPr>
        <w:numPr>
          <w:ilvl w:val="0"/>
          <w:numId w:val="23"/>
        </w:numPr>
        <w:tabs>
          <w:tab w:val="clear" w:pos="720"/>
        </w:tabs>
        <w:ind w:left="841" w:right="142" w:hanging="284"/>
        <w:jc w:val="both"/>
        <w:rPr>
          <w:rFonts w:ascii="Arial" w:eastAsia="Times New Roman" w:hAnsi="Arial" w:cs="Arial"/>
          <w:color w:val="2E3A4C"/>
          <w:lang w:eastAsia="fr-FR"/>
        </w:rPr>
      </w:pPr>
      <w:r w:rsidRPr="00737346">
        <w:rPr>
          <w:rFonts w:ascii="Arial" w:eastAsia="Times New Roman" w:hAnsi="Arial" w:cs="Arial"/>
          <w:color w:val="2E3A4C"/>
          <w:lang w:eastAsia="fr-FR"/>
        </w:rPr>
        <w:t>Assistance à la fiabilisation des comptes de droits en matière de retraite.</w:t>
      </w:r>
    </w:p>
    <w:p w14:paraId="47A90750" w14:textId="77777777" w:rsidR="009B7F28" w:rsidRDefault="009B7F28" w:rsidP="009B7F28">
      <w:pPr>
        <w:pStyle w:val="NormalWeb"/>
        <w:shd w:val="clear" w:color="auto" w:fill="FCFCFC"/>
        <w:ind w:left="426" w:right="142"/>
        <w:jc w:val="both"/>
        <w:rPr>
          <w:rFonts w:ascii="Arial" w:hAnsi="Arial" w:cs="Arial"/>
          <w:b/>
          <w:color w:val="333333"/>
          <w:sz w:val="22"/>
          <w:szCs w:val="22"/>
          <w:u w:val="single"/>
        </w:rPr>
      </w:pPr>
      <w:r>
        <w:rPr>
          <w:rFonts w:ascii="Arial" w:hAnsi="Arial" w:cs="Arial"/>
          <w:color w:val="333333"/>
          <w:sz w:val="22"/>
          <w:szCs w:val="22"/>
        </w:rPr>
        <w:t xml:space="preserve">L’article 50 crée une nouvelle obligation pour le Centre de Gestion coordonnateur à un niveau au moins régional et le Centre National de la Fonction Publique Territoriale : conventionner afin d’articuler leurs actions territoriales, notamment en matière d’organisation des concours et des examens professionnels, </w:t>
      </w:r>
      <w:r>
        <w:rPr>
          <w:rFonts w:ascii="Arial" w:hAnsi="Arial" w:cs="Arial"/>
          <w:b/>
          <w:color w:val="333333"/>
          <w:sz w:val="22"/>
          <w:szCs w:val="22"/>
          <w:u w:val="single"/>
        </w:rPr>
        <w:t>de prise en charge des fonctionnaires momentanément privés d'emploi, de reclassement des fonctionnaires devenus inaptes à l’exercice de leurs fonctions, d’accompagnement personnalisé à la mobilité et d’emploi territorial.</w:t>
      </w:r>
    </w:p>
    <w:p w14:paraId="3A8A6161"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p>
    <w:p w14:paraId="69C68D7E" w14:textId="77777777" w:rsidR="009B7F28" w:rsidRDefault="009B7F28" w:rsidP="009B7F28">
      <w:pPr>
        <w:pStyle w:val="Paragraphedeliste"/>
        <w:numPr>
          <w:ilvl w:val="1"/>
          <w:numId w:val="28"/>
        </w:numPr>
        <w:ind w:left="426" w:right="142" w:firstLine="0"/>
        <w:contextualSpacing/>
        <w:jc w:val="both"/>
        <w:rPr>
          <w:rFonts w:ascii="Arial" w:hAnsi="Arial" w:cs="Arial"/>
          <w:b/>
          <w:i/>
        </w:rPr>
      </w:pPr>
      <w:r>
        <w:rPr>
          <w:rFonts w:ascii="Arial" w:hAnsi="Arial" w:cs="Arial"/>
          <w:b/>
          <w:i/>
        </w:rPr>
        <w:t xml:space="preserve">Le CNFPT </w:t>
      </w:r>
    </w:p>
    <w:p w14:paraId="012F1104"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r>
        <w:rPr>
          <w:rFonts w:ascii="Arial" w:hAnsi="Arial" w:cs="Arial"/>
          <w:color w:val="333333"/>
          <w:sz w:val="22"/>
          <w:szCs w:val="22"/>
        </w:rPr>
        <w:t>Chaque année, avant le 30 septembre, le Centre National de la Fonction Publique Territoriale remet au Parlement un rapport portant sur son activité et sur l’utilisation de ses ressources.</w:t>
      </w:r>
    </w:p>
    <w:p w14:paraId="05AC6BB2"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r>
        <w:rPr>
          <w:rFonts w:ascii="Arial" w:hAnsi="Arial" w:cs="Arial"/>
          <w:color w:val="333333"/>
          <w:sz w:val="22"/>
          <w:szCs w:val="22"/>
        </w:rPr>
        <w:t>Ce rapport présente notamment les actions de formation menées, en formations initiale et continue, en matière de déontologie.</w:t>
      </w:r>
    </w:p>
    <w:p w14:paraId="42AC49B5"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r>
        <w:rPr>
          <w:rFonts w:ascii="Arial" w:hAnsi="Arial" w:cs="Arial"/>
          <w:color w:val="333333"/>
          <w:sz w:val="22"/>
          <w:szCs w:val="22"/>
        </w:rPr>
        <w:t>A rapprocher de notre convention de partenariat.</w:t>
      </w:r>
    </w:p>
    <w:p w14:paraId="66947303"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p>
    <w:p w14:paraId="680D14E7"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r>
        <w:rPr>
          <w:rFonts w:ascii="Arial" w:hAnsi="Arial" w:cs="Arial"/>
          <w:color w:val="333333"/>
          <w:sz w:val="22"/>
          <w:szCs w:val="22"/>
        </w:rPr>
        <w:t>L’article 62 prévoit que le Centre National de la Fonction Publique Territoriale verse aux centres de formation d’apprentis une contribution fixée à 50 % des frais de formation des apprentis employés après le 1er janvier 2020 par les collectivités et les établissements publics locaux.</w:t>
      </w:r>
    </w:p>
    <w:p w14:paraId="58E7C173"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p>
    <w:p w14:paraId="4DF54952" w14:textId="77777777" w:rsidR="009B7F28" w:rsidRDefault="009B7F28" w:rsidP="009B7F28">
      <w:pPr>
        <w:ind w:left="426" w:right="142"/>
        <w:jc w:val="both"/>
        <w:rPr>
          <w:rFonts w:ascii="Arial" w:hAnsi="Arial" w:cs="Arial"/>
          <w:szCs w:val="22"/>
        </w:rPr>
      </w:pPr>
    </w:p>
    <w:p w14:paraId="560AA1E2" w14:textId="77777777" w:rsidR="009B7F28" w:rsidRPr="00737346" w:rsidRDefault="009B7F28" w:rsidP="009B7F28">
      <w:pPr>
        <w:pStyle w:val="Paragraphedeliste"/>
        <w:numPr>
          <w:ilvl w:val="0"/>
          <w:numId w:val="28"/>
        </w:numPr>
        <w:ind w:left="426" w:right="142" w:firstLine="0"/>
        <w:contextualSpacing/>
        <w:jc w:val="both"/>
        <w:rPr>
          <w:rFonts w:ascii="Arial" w:hAnsi="Arial" w:cs="Arial"/>
          <w:color w:val="0070C0"/>
          <w:sz w:val="24"/>
        </w:rPr>
      </w:pPr>
      <w:r w:rsidRPr="00737346">
        <w:rPr>
          <w:rFonts w:ascii="Arial" w:hAnsi="Arial" w:cs="Arial"/>
          <w:color w:val="0070C0"/>
          <w:sz w:val="24"/>
        </w:rPr>
        <w:t>De nouveaux dispositifs permettant de suivre l’engagement des employeurs publics sur le sujet du handicap :</w:t>
      </w:r>
    </w:p>
    <w:p w14:paraId="70F145CC" w14:textId="77777777" w:rsidR="009B7F28" w:rsidRDefault="009B7F28" w:rsidP="009B7F28">
      <w:pPr>
        <w:pStyle w:val="Paragraphedeliste"/>
        <w:ind w:left="426" w:right="142"/>
        <w:rPr>
          <w:rFonts w:ascii="Arial" w:hAnsi="Arial" w:cs="Arial"/>
        </w:rPr>
      </w:pPr>
    </w:p>
    <w:p w14:paraId="730F961F" w14:textId="77777777" w:rsidR="009B7F28" w:rsidRDefault="009B7F28" w:rsidP="009B7F28">
      <w:pPr>
        <w:pStyle w:val="Paragraphedeliste"/>
        <w:numPr>
          <w:ilvl w:val="1"/>
          <w:numId w:val="28"/>
        </w:numPr>
        <w:ind w:left="426" w:right="142" w:firstLine="0"/>
        <w:contextualSpacing/>
        <w:jc w:val="both"/>
        <w:rPr>
          <w:rFonts w:ascii="Arial" w:hAnsi="Arial" w:cs="Arial"/>
          <w:b/>
          <w:i/>
        </w:rPr>
      </w:pPr>
      <w:r>
        <w:rPr>
          <w:rFonts w:ascii="Arial" w:hAnsi="Arial" w:cs="Arial"/>
          <w:b/>
          <w:i/>
        </w:rPr>
        <w:t>Le rapport social unique</w:t>
      </w:r>
    </w:p>
    <w:p w14:paraId="37FF1C92"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proofErr w:type="spellStart"/>
      <w:r>
        <w:rPr>
          <w:rFonts w:ascii="Arial" w:hAnsi="Arial" w:cs="Arial"/>
          <w:color w:val="333333"/>
          <w:sz w:val="22"/>
          <w:szCs w:val="22"/>
        </w:rPr>
        <w:t>Etabli</w:t>
      </w:r>
      <w:proofErr w:type="spellEnd"/>
      <w:r>
        <w:rPr>
          <w:rFonts w:ascii="Arial" w:hAnsi="Arial" w:cs="Arial"/>
          <w:color w:val="333333"/>
          <w:sz w:val="22"/>
          <w:szCs w:val="22"/>
        </w:rPr>
        <w:t xml:space="preserve"> annuellement, il recense les différentes données GPEC et tout particulièrement celles concernant le handicap.</w:t>
      </w:r>
    </w:p>
    <w:p w14:paraId="50F7E9E0" w14:textId="77777777" w:rsidR="009B7F28" w:rsidRDefault="009B7F28" w:rsidP="009B7F28">
      <w:pPr>
        <w:ind w:left="426" w:right="142"/>
        <w:rPr>
          <w:rFonts w:ascii="Arial" w:hAnsi="Arial" w:cs="Arial"/>
          <w:szCs w:val="22"/>
        </w:rPr>
      </w:pPr>
      <w:r>
        <w:rPr>
          <w:rFonts w:ascii="Arial" w:hAnsi="Arial" w:cs="Arial"/>
          <w:color w:val="333333"/>
        </w:rPr>
        <w:t>Le contenu, les conditions et les modalités d’élaboration du rapport et de la base de données sont précisés par décret en Conseil d'</w:t>
      </w:r>
      <w:proofErr w:type="spellStart"/>
      <w:r>
        <w:rPr>
          <w:rFonts w:ascii="Arial" w:hAnsi="Arial" w:cs="Arial"/>
          <w:color w:val="333333"/>
        </w:rPr>
        <w:t>Etat</w:t>
      </w:r>
      <w:proofErr w:type="spellEnd"/>
    </w:p>
    <w:p w14:paraId="51D4123C" w14:textId="77777777" w:rsidR="009B7F28" w:rsidRDefault="009B7F28" w:rsidP="009B7F28">
      <w:pPr>
        <w:pStyle w:val="Titre2"/>
        <w:shd w:val="clear" w:color="auto" w:fill="FCFCFC"/>
        <w:spacing w:before="0" w:line="240" w:lineRule="auto"/>
        <w:ind w:left="426" w:right="142"/>
        <w:jc w:val="both"/>
        <w:rPr>
          <w:rFonts w:ascii="Arial" w:hAnsi="Arial" w:cs="Arial"/>
          <w:color w:val="1A1A1A"/>
          <w:sz w:val="22"/>
          <w:szCs w:val="22"/>
        </w:rPr>
      </w:pPr>
      <w:r>
        <w:rPr>
          <w:rFonts w:ascii="Arial" w:hAnsi="Arial" w:cs="Arial"/>
          <w:sz w:val="22"/>
          <w:szCs w:val="22"/>
        </w:rPr>
        <w:t> </w:t>
      </w:r>
    </w:p>
    <w:p w14:paraId="4FCC7C29" w14:textId="77777777" w:rsidR="009B7F28" w:rsidRDefault="009B7F28" w:rsidP="009B7F28">
      <w:pPr>
        <w:pStyle w:val="Paragraphedeliste"/>
        <w:numPr>
          <w:ilvl w:val="1"/>
          <w:numId w:val="28"/>
        </w:numPr>
        <w:ind w:left="426" w:right="142" w:firstLine="0"/>
        <w:contextualSpacing/>
        <w:jc w:val="both"/>
        <w:rPr>
          <w:rFonts w:ascii="Arial" w:hAnsi="Arial" w:cs="Arial"/>
          <w:b/>
          <w:i/>
        </w:rPr>
      </w:pPr>
      <w:r>
        <w:rPr>
          <w:rFonts w:ascii="Arial" w:hAnsi="Arial" w:cs="Arial"/>
          <w:b/>
          <w:i/>
        </w:rPr>
        <w:t>Les lignes directrices de gestion</w:t>
      </w:r>
    </w:p>
    <w:p w14:paraId="72C40E1A"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r>
        <w:rPr>
          <w:rFonts w:ascii="Arial" w:hAnsi="Arial" w:cs="Arial"/>
          <w:color w:val="333333"/>
          <w:sz w:val="22"/>
          <w:szCs w:val="22"/>
        </w:rPr>
        <w:t xml:space="preserve">Pour chaque collectivité et établissement public de plus de 50 agents, des lignes directrices de gestion sont arrêtées par l’Autorité territoriale, après avis du Comité Social Territorial. Les lignes directrices de gestion déterminent la stratégie pluriannuelle de pilotage des ressources humaines dans chaque collectivité et établissement public. </w:t>
      </w:r>
    </w:p>
    <w:p w14:paraId="665DFA26" w14:textId="77777777" w:rsidR="009B7F28" w:rsidRDefault="009B7F28" w:rsidP="009B7F28">
      <w:pPr>
        <w:pStyle w:val="Titre2"/>
        <w:shd w:val="clear" w:color="auto" w:fill="FCFCFC"/>
        <w:ind w:left="426" w:right="142"/>
        <w:jc w:val="both"/>
        <w:rPr>
          <w:rFonts w:ascii="Arial" w:hAnsi="Arial" w:cs="Arial"/>
          <w:sz w:val="22"/>
          <w:szCs w:val="22"/>
        </w:rPr>
      </w:pPr>
      <w:r>
        <w:rPr>
          <w:rFonts w:ascii="Arial" w:hAnsi="Arial" w:cs="Arial"/>
          <w:sz w:val="22"/>
          <w:szCs w:val="22"/>
        </w:rPr>
        <w:t> </w:t>
      </w:r>
    </w:p>
    <w:p w14:paraId="3E5263A3" w14:textId="77777777" w:rsidR="009B7F28" w:rsidRDefault="009B7F28" w:rsidP="009B7F28">
      <w:pPr>
        <w:ind w:left="426" w:right="142"/>
        <w:rPr>
          <w:rFonts w:asciiTheme="minorHAnsi" w:hAnsiTheme="minorHAnsi" w:cstheme="minorBidi"/>
          <w:szCs w:val="22"/>
        </w:rPr>
      </w:pPr>
    </w:p>
    <w:p w14:paraId="79C54A44" w14:textId="77777777" w:rsidR="009B7F28" w:rsidRPr="00737346" w:rsidRDefault="009B7F28" w:rsidP="009B7F28">
      <w:pPr>
        <w:pStyle w:val="Paragraphedeliste"/>
        <w:numPr>
          <w:ilvl w:val="0"/>
          <w:numId w:val="28"/>
        </w:numPr>
        <w:ind w:left="426" w:right="142" w:firstLine="0"/>
        <w:contextualSpacing/>
        <w:jc w:val="both"/>
        <w:rPr>
          <w:rFonts w:ascii="Arial" w:hAnsi="Arial" w:cs="Arial"/>
          <w:color w:val="0070C0"/>
          <w:sz w:val="24"/>
        </w:rPr>
      </w:pPr>
      <w:r w:rsidRPr="00737346">
        <w:rPr>
          <w:rFonts w:ascii="Arial" w:hAnsi="Arial" w:cs="Arial"/>
          <w:color w:val="0070C0"/>
          <w:sz w:val="24"/>
        </w:rPr>
        <w:t>Les sujets à traiter par voie d’ordonnance :</w:t>
      </w:r>
    </w:p>
    <w:p w14:paraId="20BEFBAE" w14:textId="77777777" w:rsidR="009B7F28" w:rsidRDefault="009B7F28" w:rsidP="009B7F28">
      <w:pPr>
        <w:ind w:left="426" w:right="142"/>
        <w:rPr>
          <w:rFonts w:asciiTheme="minorHAnsi" w:hAnsiTheme="minorHAnsi" w:cstheme="minorBidi"/>
        </w:rPr>
      </w:pPr>
    </w:p>
    <w:p w14:paraId="59CA081E"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r>
        <w:rPr>
          <w:rFonts w:ascii="Arial" w:hAnsi="Arial" w:cs="Arial"/>
          <w:color w:val="333333"/>
          <w:sz w:val="22"/>
          <w:szCs w:val="22"/>
        </w:rPr>
        <w:t>L’article 40 autorise le Gouvernement à prendre par ordonnances toute mesure relevant du domaine de la loi visant à :</w:t>
      </w:r>
    </w:p>
    <w:p w14:paraId="36A652CC" w14:textId="77777777" w:rsidR="009B7F28" w:rsidRPr="00737346" w:rsidRDefault="009B7F28" w:rsidP="00737346">
      <w:pPr>
        <w:numPr>
          <w:ilvl w:val="0"/>
          <w:numId w:val="23"/>
        </w:numPr>
        <w:tabs>
          <w:tab w:val="clear" w:pos="720"/>
        </w:tabs>
        <w:ind w:left="841" w:right="142" w:hanging="284"/>
        <w:jc w:val="both"/>
        <w:rPr>
          <w:rFonts w:ascii="Arial" w:eastAsia="Times New Roman" w:hAnsi="Arial" w:cs="Arial"/>
          <w:color w:val="2E3A4C"/>
          <w:lang w:eastAsia="fr-FR"/>
        </w:rPr>
      </w:pPr>
      <w:r w:rsidRPr="00737346">
        <w:rPr>
          <w:rFonts w:ascii="Arial" w:eastAsia="Times New Roman" w:hAnsi="Arial" w:cs="Arial"/>
          <w:color w:val="2E3A4C"/>
          <w:lang w:eastAsia="fr-FR"/>
        </w:rPr>
        <w:lastRenderedPageBreak/>
        <w:t>Faciliter la prise en charge des personnels des employeurs en simplifiant l’organisation et le fonctionnement des instances médicales et de la médecine agréée, y compris les services de médecine de prévention et de médecine préventive, et en rationalisant leurs moyens d’action,</w:t>
      </w:r>
    </w:p>
    <w:p w14:paraId="25C3252B" w14:textId="77777777" w:rsidR="009B7F28" w:rsidRPr="00737346" w:rsidRDefault="009B7F28" w:rsidP="00737346">
      <w:pPr>
        <w:numPr>
          <w:ilvl w:val="0"/>
          <w:numId w:val="23"/>
        </w:numPr>
        <w:tabs>
          <w:tab w:val="clear" w:pos="720"/>
        </w:tabs>
        <w:ind w:left="841" w:right="142" w:hanging="284"/>
        <w:jc w:val="both"/>
        <w:rPr>
          <w:rFonts w:ascii="Arial" w:eastAsia="Times New Roman" w:hAnsi="Arial" w:cs="Arial"/>
          <w:color w:val="2E3A4C"/>
          <w:lang w:eastAsia="fr-FR"/>
        </w:rPr>
      </w:pPr>
      <w:r w:rsidRPr="00737346">
        <w:rPr>
          <w:rFonts w:ascii="Arial" w:eastAsia="Times New Roman" w:hAnsi="Arial" w:cs="Arial"/>
          <w:color w:val="2E3A4C"/>
          <w:lang w:eastAsia="fr-FR"/>
        </w:rPr>
        <w:t>Simplifier les règles applicables aux agents publics relatives à l’aptitude physique à l’entrée dans la fonction publique, aux différents congés et positions statutaires pour maladies d’origine non professionnelle ou professionnelle ainsi qu’aux prérogatives et obligations professionnelles des agents publics intervenant dans les dossiers d’accidents du travail et de maladies professionnelles,</w:t>
      </w:r>
    </w:p>
    <w:p w14:paraId="4A7599EB" w14:textId="77777777" w:rsidR="009B7F28" w:rsidRPr="00737346" w:rsidRDefault="009B7F28" w:rsidP="00737346">
      <w:pPr>
        <w:numPr>
          <w:ilvl w:val="0"/>
          <w:numId w:val="23"/>
        </w:numPr>
        <w:tabs>
          <w:tab w:val="clear" w:pos="720"/>
        </w:tabs>
        <w:ind w:left="841" w:right="142" w:hanging="284"/>
        <w:jc w:val="both"/>
        <w:rPr>
          <w:rFonts w:ascii="Arial" w:eastAsia="Times New Roman" w:hAnsi="Arial" w:cs="Arial"/>
          <w:color w:val="2E3A4C"/>
          <w:lang w:eastAsia="fr-FR"/>
        </w:rPr>
      </w:pPr>
      <w:proofErr w:type="spellStart"/>
      <w:r w:rsidRPr="00737346">
        <w:rPr>
          <w:rFonts w:ascii="Arial" w:eastAsia="Times New Roman" w:hAnsi="Arial" w:cs="Arial"/>
          <w:color w:val="2E3A4C"/>
          <w:lang w:eastAsia="fr-FR"/>
        </w:rPr>
        <w:t>Etendre</w:t>
      </w:r>
      <w:proofErr w:type="spellEnd"/>
      <w:r w:rsidRPr="00737346">
        <w:rPr>
          <w:rFonts w:ascii="Arial" w:eastAsia="Times New Roman" w:hAnsi="Arial" w:cs="Arial"/>
          <w:color w:val="2E3A4C"/>
          <w:lang w:eastAsia="fr-FR"/>
        </w:rPr>
        <w:t xml:space="preserve"> les possibilités de recours au temps partiel pour raison thérapeutique et au reclassement par suite d’une altération de l’état de santé afin de favoriser le maintien dans l’emploi des agents publics ou leur retour à l’emploi,</w:t>
      </w:r>
    </w:p>
    <w:p w14:paraId="1C9EA829" w14:textId="77777777" w:rsidR="009B7F28" w:rsidRPr="00737346" w:rsidRDefault="009B7F28" w:rsidP="00737346">
      <w:pPr>
        <w:numPr>
          <w:ilvl w:val="0"/>
          <w:numId w:val="23"/>
        </w:numPr>
        <w:tabs>
          <w:tab w:val="clear" w:pos="720"/>
        </w:tabs>
        <w:ind w:left="841" w:right="142" w:hanging="284"/>
        <w:jc w:val="both"/>
        <w:rPr>
          <w:rFonts w:ascii="Arial" w:eastAsia="Times New Roman" w:hAnsi="Arial" w:cs="Arial"/>
          <w:color w:val="2E3A4C"/>
          <w:lang w:eastAsia="fr-FR"/>
        </w:rPr>
      </w:pPr>
      <w:r w:rsidRPr="00737346">
        <w:rPr>
          <w:rFonts w:ascii="Arial" w:eastAsia="Times New Roman" w:hAnsi="Arial" w:cs="Arial"/>
          <w:color w:val="2E3A4C"/>
          <w:lang w:eastAsia="fr-FR"/>
        </w:rPr>
        <w:t>Les ordonnances relatives aux services de santé et à la Protection Sociale Complémentaire sont prises dans un délai de quinze mois à compter de la publication de la loi, celles concernant l’inaptitude dans un délai de douze mois.</w:t>
      </w:r>
    </w:p>
    <w:p w14:paraId="0DA5F3EE"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p>
    <w:p w14:paraId="328BAC6E" w14:textId="77777777" w:rsidR="009B7F28" w:rsidRDefault="009B7F28" w:rsidP="009B7F28">
      <w:pPr>
        <w:pStyle w:val="NormalWeb"/>
        <w:shd w:val="clear" w:color="auto" w:fill="FCFCFC"/>
        <w:spacing w:before="0" w:beforeAutospacing="0" w:after="0" w:afterAutospacing="0"/>
        <w:ind w:left="426" w:right="142"/>
        <w:jc w:val="both"/>
        <w:rPr>
          <w:rFonts w:ascii="Arial" w:hAnsi="Arial" w:cs="Arial"/>
          <w:color w:val="333333"/>
          <w:sz w:val="22"/>
          <w:szCs w:val="22"/>
        </w:rPr>
      </w:pPr>
      <w:r>
        <w:rPr>
          <w:rFonts w:ascii="Arial" w:hAnsi="Arial" w:cs="Arial"/>
          <w:color w:val="333333"/>
          <w:sz w:val="22"/>
          <w:szCs w:val="22"/>
        </w:rPr>
        <w:t>L’article 59 autorise le Gouvernement à prendre par ordonnances, et dans un délai de 18 mois, toute mesure relevant du domaine de la loi visant à :</w:t>
      </w:r>
    </w:p>
    <w:p w14:paraId="3362CFEE" w14:textId="77777777" w:rsidR="009B7F28" w:rsidRPr="00737346" w:rsidRDefault="009B7F28" w:rsidP="00737346">
      <w:pPr>
        <w:numPr>
          <w:ilvl w:val="0"/>
          <w:numId w:val="23"/>
        </w:numPr>
        <w:tabs>
          <w:tab w:val="clear" w:pos="720"/>
        </w:tabs>
        <w:ind w:left="841" w:right="142" w:hanging="284"/>
        <w:jc w:val="both"/>
        <w:rPr>
          <w:rFonts w:ascii="Arial" w:eastAsia="Times New Roman" w:hAnsi="Arial" w:cs="Arial"/>
          <w:color w:val="2E3A4C"/>
          <w:lang w:eastAsia="fr-FR"/>
        </w:rPr>
      </w:pPr>
      <w:r w:rsidRPr="00737346">
        <w:rPr>
          <w:rFonts w:ascii="Arial" w:eastAsia="Times New Roman" w:hAnsi="Arial" w:cs="Arial"/>
          <w:color w:val="2E3A4C"/>
          <w:lang w:eastAsia="fr-FR"/>
        </w:rPr>
        <w:t>Organiser le rapprochement et modifier le financement des établissements publics et services qui concourent à la formation des agents publics, afin d’améliorer la qualité du service rendu aux agents et aux employeurs publics,</w:t>
      </w:r>
    </w:p>
    <w:p w14:paraId="70CF9A60" w14:textId="77777777" w:rsidR="009B7F28" w:rsidRPr="00737346" w:rsidRDefault="009B7F28" w:rsidP="00737346">
      <w:pPr>
        <w:numPr>
          <w:ilvl w:val="0"/>
          <w:numId w:val="23"/>
        </w:numPr>
        <w:tabs>
          <w:tab w:val="clear" w:pos="720"/>
        </w:tabs>
        <w:ind w:left="841" w:right="142" w:hanging="284"/>
        <w:jc w:val="both"/>
        <w:rPr>
          <w:rFonts w:ascii="Arial" w:eastAsia="Times New Roman" w:hAnsi="Arial" w:cs="Arial"/>
          <w:color w:val="2E3A4C"/>
          <w:lang w:eastAsia="fr-FR"/>
        </w:rPr>
      </w:pPr>
      <w:r w:rsidRPr="00737346">
        <w:rPr>
          <w:rFonts w:ascii="Arial" w:eastAsia="Times New Roman" w:hAnsi="Arial" w:cs="Arial"/>
          <w:color w:val="2E3A4C"/>
          <w:lang w:eastAsia="fr-FR"/>
        </w:rPr>
        <w:t>Renforcer la formation des agents les moins qualifiés, des agents en situation de handicap ainsi que des agents les plus exposés aux risques d’usure professionnelle afin de favoriser leur évolution professionnelle.</w:t>
      </w:r>
    </w:p>
    <w:p w14:paraId="67624890" w14:textId="77777777" w:rsidR="009B7F28" w:rsidRDefault="009B7F28" w:rsidP="009B7F28">
      <w:pPr>
        <w:shd w:val="clear" w:color="auto" w:fill="FCFCFC"/>
        <w:ind w:left="426" w:right="142"/>
        <w:jc w:val="both"/>
        <w:rPr>
          <w:rFonts w:ascii="Arial" w:hAnsi="Arial" w:cs="Arial"/>
          <w:color w:val="333333"/>
        </w:rPr>
      </w:pPr>
    </w:p>
    <w:p w14:paraId="4086A789" w14:textId="77777777" w:rsidR="009B7F28" w:rsidRDefault="009B7F28" w:rsidP="009B7F28">
      <w:pPr>
        <w:shd w:val="clear" w:color="auto" w:fill="FCFCFC"/>
        <w:ind w:left="426" w:right="142"/>
        <w:jc w:val="both"/>
        <w:rPr>
          <w:rFonts w:ascii="Arial" w:hAnsi="Arial" w:cs="Arial"/>
          <w:color w:val="333333"/>
        </w:rPr>
      </w:pPr>
    </w:p>
    <w:p w14:paraId="08D609D7" w14:textId="77777777" w:rsidR="009B7F28" w:rsidRDefault="009B7F28" w:rsidP="009B7F28">
      <w:pPr>
        <w:pStyle w:val="Titre2"/>
        <w:shd w:val="clear" w:color="auto" w:fill="FCFCFC"/>
        <w:ind w:left="426" w:right="142"/>
        <w:jc w:val="both"/>
        <w:rPr>
          <w:rFonts w:ascii="Arial" w:hAnsi="Arial" w:cs="Arial"/>
          <w:color w:val="1A1A1A"/>
          <w:sz w:val="22"/>
          <w:szCs w:val="22"/>
        </w:rPr>
      </w:pPr>
      <w:r>
        <w:rPr>
          <w:rFonts w:ascii="Arial" w:hAnsi="Arial" w:cs="Arial"/>
          <w:sz w:val="22"/>
          <w:szCs w:val="22"/>
        </w:rPr>
        <w:t> </w:t>
      </w:r>
    </w:p>
    <w:p w14:paraId="16443322" w14:textId="77777777" w:rsidR="009B7F28" w:rsidRDefault="009B7F28" w:rsidP="009B7F28">
      <w:pPr>
        <w:pStyle w:val="Titre2"/>
        <w:shd w:val="clear" w:color="auto" w:fill="FCFCFC"/>
        <w:ind w:left="426" w:right="142"/>
        <w:jc w:val="both"/>
        <w:rPr>
          <w:rFonts w:ascii="Arial" w:hAnsi="Arial" w:cs="Arial"/>
          <w:color w:val="1A1A1A"/>
          <w:sz w:val="22"/>
          <w:szCs w:val="22"/>
        </w:rPr>
      </w:pPr>
      <w:r>
        <w:rPr>
          <w:rFonts w:ascii="Arial" w:hAnsi="Arial" w:cs="Arial"/>
          <w:sz w:val="22"/>
          <w:szCs w:val="22"/>
        </w:rPr>
        <w:t> </w:t>
      </w:r>
    </w:p>
    <w:p w14:paraId="516A5167" w14:textId="77777777" w:rsidR="009B7F28" w:rsidRDefault="009B7F28" w:rsidP="009B7F28">
      <w:pPr>
        <w:ind w:left="426" w:right="142"/>
        <w:rPr>
          <w:rFonts w:asciiTheme="minorHAnsi" w:hAnsiTheme="minorHAnsi" w:cstheme="minorBidi"/>
          <w:szCs w:val="22"/>
        </w:rPr>
      </w:pPr>
    </w:p>
    <w:p w14:paraId="76C1C324" w14:textId="77777777" w:rsidR="009B7F28" w:rsidRDefault="009B7F28" w:rsidP="009B7F28">
      <w:pPr>
        <w:spacing w:after="150"/>
        <w:ind w:left="426" w:right="142"/>
        <w:jc w:val="both"/>
        <w:textAlignment w:val="center"/>
        <w:rPr>
          <w:rFonts w:ascii="Arial" w:eastAsia="Times New Roman" w:hAnsi="Arial" w:cs="Arial"/>
          <w:color w:val="333333"/>
          <w:lang w:eastAsia="fr-FR"/>
        </w:rPr>
      </w:pPr>
    </w:p>
    <w:p w14:paraId="02683D69" w14:textId="77777777" w:rsidR="009B7F28" w:rsidRDefault="009B7F28" w:rsidP="009B7F28">
      <w:pPr>
        <w:pBdr>
          <w:top w:val="single" w:sz="4" w:space="1" w:color="auto"/>
          <w:left w:val="single" w:sz="4" w:space="4" w:color="auto"/>
          <w:bottom w:val="single" w:sz="4" w:space="1" w:color="auto"/>
          <w:right w:val="single" w:sz="4" w:space="4" w:color="auto"/>
        </w:pBdr>
        <w:spacing w:after="150"/>
        <w:ind w:left="426" w:right="142"/>
        <w:jc w:val="both"/>
        <w:textAlignment w:val="center"/>
        <w:rPr>
          <w:rFonts w:ascii="Arial" w:eastAsia="Times New Roman" w:hAnsi="Arial" w:cs="Arial"/>
          <w:b/>
          <w:color w:val="333333"/>
          <w:lang w:eastAsia="fr-FR"/>
        </w:rPr>
      </w:pPr>
      <w:r>
        <w:rPr>
          <w:rFonts w:ascii="Arial" w:eastAsia="Times New Roman" w:hAnsi="Arial" w:cs="Arial"/>
          <w:b/>
          <w:color w:val="333333"/>
          <w:lang w:eastAsia="fr-FR"/>
        </w:rPr>
        <w:t>Le gouvernement s’est engagé à ce que l’essentiel des dispositions de la loi soient applicables au 1</w:t>
      </w:r>
      <w:r>
        <w:rPr>
          <w:rFonts w:ascii="Arial" w:eastAsia="Times New Roman" w:hAnsi="Arial" w:cs="Arial"/>
          <w:b/>
          <w:color w:val="333333"/>
          <w:vertAlign w:val="superscript"/>
          <w:lang w:eastAsia="fr-FR"/>
        </w:rPr>
        <w:t>er</w:t>
      </w:r>
      <w:r>
        <w:rPr>
          <w:rFonts w:ascii="Arial" w:eastAsia="Times New Roman" w:hAnsi="Arial" w:cs="Arial"/>
          <w:b/>
          <w:color w:val="333333"/>
          <w:lang w:eastAsia="fr-FR"/>
        </w:rPr>
        <w:t> janvier 2020 ou dans le courant de l’année prochaine. A cet effet, une cinquantaine de textes, dont un certain nombre de décrets, devront être publiés dans les prochains mois pour permettre l’application. Ils devront être soumis au préalable au CSFPT.</w:t>
      </w:r>
    </w:p>
    <w:p w14:paraId="74088609" w14:textId="77777777" w:rsidR="009B7F28" w:rsidRDefault="009B7F28" w:rsidP="009B7F28">
      <w:pPr>
        <w:ind w:left="426" w:right="142"/>
        <w:jc w:val="both"/>
        <w:rPr>
          <w:rFonts w:ascii="Arial" w:eastAsiaTheme="minorHAnsi" w:hAnsi="Arial" w:cs="Arial"/>
        </w:rPr>
      </w:pPr>
    </w:p>
    <w:p w14:paraId="46C98F3A" w14:textId="77777777" w:rsidR="003D5DDD" w:rsidRDefault="003D5DDD" w:rsidP="009B7F28">
      <w:pPr>
        <w:pStyle w:val="NormalWeb"/>
        <w:spacing w:before="86" w:beforeAutospacing="0" w:after="0" w:afterAutospacing="0"/>
        <w:ind w:left="426" w:right="142"/>
        <w:rPr>
          <w:rFonts w:ascii="Arial" w:eastAsiaTheme="minorEastAsia" w:hAnsi="Arial" w:cs="Arial"/>
          <w:color w:val="000000" w:themeColor="text1"/>
          <w:kern w:val="24"/>
          <w:sz w:val="22"/>
          <w:szCs w:val="22"/>
        </w:rPr>
      </w:pPr>
    </w:p>
    <w:sectPr w:rsidR="003D5DDD" w:rsidSect="009B7F28">
      <w:headerReference w:type="default" r:id="rId8"/>
      <w:footerReference w:type="default" r:id="rId9"/>
      <w:pgSz w:w="11907" w:h="16840" w:code="9"/>
      <w:pgMar w:top="1283" w:right="850" w:bottom="851" w:left="567" w:header="568"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B7A2A" w14:textId="77777777" w:rsidR="00A018A9" w:rsidRDefault="00A018A9" w:rsidP="009C1821">
      <w:r>
        <w:separator/>
      </w:r>
    </w:p>
  </w:endnote>
  <w:endnote w:type="continuationSeparator" w:id="0">
    <w:p w14:paraId="25B54D4F" w14:textId="77777777" w:rsidR="00A018A9" w:rsidRDefault="00A018A9" w:rsidP="009C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TBoo">
    <w:altName w:val="Courier New"/>
    <w:panose1 w:val="020B06040202020202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Segoe UI"/>
    <w:panose1 w:val="020F0502020204030203"/>
    <w:charset w:val="4D"/>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EA7E" w14:textId="57645403" w:rsidR="008E014A" w:rsidRDefault="008E014A">
    <w:pPr>
      <w:pStyle w:val="Pieddepage"/>
    </w:pPr>
    <w:r>
      <w:rPr>
        <w:noProof/>
      </w:rPr>
      <mc:AlternateContent>
        <mc:Choice Requires="wps">
          <w:drawing>
            <wp:anchor distT="0" distB="0" distL="114300" distR="114300" simplePos="0" relativeHeight="251659264" behindDoc="0" locked="0" layoutInCell="0" allowOverlap="1" wp14:anchorId="3EF7E070" wp14:editId="5E655AE3">
              <wp:simplePos x="0" y="0"/>
              <wp:positionH relativeFrom="page">
                <wp:posOffset>0</wp:posOffset>
              </wp:positionH>
              <wp:positionV relativeFrom="page">
                <wp:posOffset>10236200</wp:posOffset>
              </wp:positionV>
              <wp:extent cx="7560945" cy="266700"/>
              <wp:effectExtent l="0" t="0" r="0" b="0"/>
              <wp:wrapNone/>
              <wp:docPr id="1" name="MSIPCMd4ab45779c41afecf3ea65c0" descr="{&quot;HashCode&quot;:9679731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3C875" w14:textId="55C54D9E" w:rsidR="008E014A" w:rsidRPr="008E014A" w:rsidRDefault="008E014A" w:rsidP="008E014A">
                          <w:pPr>
                            <w:rPr>
                              <w:rFonts w:ascii="Calibri" w:hAnsi="Calibri"/>
                              <w:color w:val="A80000"/>
                              <w:sz w:val="20"/>
                            </w:rPr>
                          </w:pPr>
                          <w:r w:rsidRPr="008E014A">
                            <w:rPr>
                              <w:rFonts w:ascii="Calibri" w:hAnsi="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F7E070" id="_x0000_t202" coordsize="21600,21600" o:spt="202" path="m,l,21600r21600,l21600,xe">
              <v:stroke joinstyle="miter"/>
              <v:path gradientshapeok="t" o:connecttype="rect"/>
            </v:shapetype>
            <v:shape id="MSIPCMd4ab45779c41afecf3ea65c0" o:spid="_x0000_s1026" type="#_x0000_t202" alt="{&quot;HashCode&quot;:967973103,&quot;Height&quot;:842.0,&quot;Width&quot;:595.0,&quot;Placement&quot;:&quot;Footer&quot;,&quot;Index&quot;:&quot;Primary&quot;,&quot;Section&quot;:1,&quot;Top&quot;:0.0,&quot;Left&quot;:0.0}" style="position:absolute;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" o:allowincell="f" filled="f" stroked="f" strokeweight=".5pt">
              <v:textbox inset="20pt,0,,0">
                <w:txbxContent>
                  <w:p w14:paraId="7E83C875" w14:textId="55C54D9E" w:rsidR="008E014A" w:rsidRPr="008E014A" w:rsidRDefault="008E014A" w:rsidP="008E014A">
                    <w:pPr>
                      <w:rPr>
                        <w:rFonts w:ascii="Calibri" w:hAnsi="Calibri"/>
                        <w:color w:val="A80000"/>
                        <w:sz w:val="20"/>
                      </w:rPr>
                    </w:pPr>
                    <w:r w:rsidRPr="008E014A">
                      <w:rPr>
                        <w:rFonts w:ascii="Calibri" w:hAnsi="Calibri"/>
                        <w:color w:val="A8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C97B6" w14:textId="77777777" w:rsidR="00A018A9" w:rsidRDefault="00A018A9" w:rsidP="009C1821">
      <w:r>
        <w:separator/>
      </w:r>
    </w:p>
  </w:footnote>
  <w:footnote w:type="continuationSeparator" w:id="0">
    <w:p w14:paraId="67166505" w14:textId="77777777" w:rsidR="00A018A9" w:rsidRDefault="00A018A9" w:rsidP="009C1821">
      <w:r>
        <w:continuationSeparator/>
      </w:r>
    </w:p>
  </w:footnote>
  <w:footnote w:id="1">
    <w:p w14:paraId="6F796E96" w14:textId="48F16FF4" w:rsidR="00144D92" w:rsidRPr="00F82933" w:rsidRDefault="00144D92">
      <w:pPr>
        <w:pStyle w:val="Notedebasdepage"/>
        <w:rPr>
          <w:color w:val="000000" w:themeColor="text1"/>
        </w:rPr>
      </w:pPr>
      <w:r w:rsidRPr="00F82933">
        <w:rPr>
          <w:rStyle w:val="Appelnotedebasdep"/>
          <w:color w:val="000000" w:themeColor="text1"/>
        </w:rPr>
        <w:footnoteRef/>
      </w:r>
      <w:r w:rsidRPr="00F82933">
        <w:rPr>
          <w:color w:val="000000" w:themeColor="text1"/>
        </w:rPr>
        <w:t xml:space="preserve"> </w:t>
      </w:r>
      <w:r w:rsidR="00465068" w:rsidRPr="00F82933">
        <w:rPr>
          <w:color w:val="000000" w:themeColor="text1"/>
        </w:rPr>
        <w:t>A compter du 1</w:t>
      </w:r>
      <w:r w:rsidR="00465068" w:rsidRPr="00F82933">
        <w:rPr>
          <w:color w:val="000000" w:themeColor="text1"/>
          <w:vertAlign w:val="superscript"/>
        </w:rPr>
        <w:t>e</w:t>
      </w:r>
      <w:r w:rsidR="00465068" w:rsidRPr="00F82933">
        <w:rPr>
          <w:color w:val="000000" w:themeColor="text1"/>
        </w:rPr>
        <w:t xml:space="preserve"> janvier 2020, les anciens militaires non handicapés</w:t>
      </w:r>
      <w:r w:rsidR="008E014A" w:rsidRPr="00F82933">
        <w:rPr>
          <w:color w:val="000000" w:themeColor="text1"/>
        </w:rPr>
        <w:t xml:space="preserve"> en reconversion professionnelle dans la fonction publique civile</w:t>
      </w:r>
      <w:r w:rsidR="00465068" w:rsidRPr="00F82933">
        <w:rPr>
          <w:color w:val="000000" w:themeColor="text1"/>
        </w:rPr>
        <w:t xml:space="preserve"> ne p</w:t>
      </w:r>
      <w:r w:rsidR="008E014A" w:rsidRPr="00F82933">
        <w:rPr>
          <w:color w:val="000000" w:themeColor="text1"/>
        </w:rPr>
        <w:t xml:space="preserve">ourront </w:t>
      </w:r>
      <w:r w:rsidR="00465068" w:rsidRPr="00F82933">
        <w:rPr>
          <w:color w:val="000000" w:themeColor="text1"/>
        </w:rPr>
        <w:t>plus être recrutés au titre des emplois réservés.</w:t>
      </w:r>
    </w:p>
    <w:p w14:paraId="1C1FF4AF" w14:textId="238F74B7" w:rsidR="00465068" w:rsidRDefault="00F82933">
      <w:pPr>
        <w:pStyle w:val="Notedebasdepage"/>
      </w:pPr>
      <w:r w:rsidRPr="00F82933">
        <w:rPr>
          <w:color w:val="000000" w:themeColor="text1"/>
        </w:rPr>
        <w:t>Les agents qui auront bénéficié de ce dispositif avant le 31 décembre 2019 continueront d’être comptabilisés dans les effectifs des BOE</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513"/>
    </w:tblGrid>
    <w:tr w:rsidR="00D544C3" w14:paraId="51E3CB72" w14:textId="77777777" w:rsidTr="00AD7FD4">
      <w:tc>
        <w:tcPr>
          <w:tcW w:w="3085" w:type="dxa"/>
        </w:tcPr>
        <w:p w14:paraId="28FDFAA8" w14:textId="7B74CDE1" w:rsidR="00D544C3" w:rsidRDefault="00951629" w:rsidP="00FC0C9C">
          <w:pPr>
            <w:pStyle w:val="En-tte"/>
            <w:tabs>
              <w:tab w:val="clear" w:pos="4536"/>
              <w:tab w:val="clear" w:pos="9072"/>
            </w:tabs>
            <w:ind w:left="426"/>
          </w:pPr>
          <w:r>
            <w:rPr>
              <w:noProof/>
              <w:lang w:eastAsia="fr-FR"/>
            </w:rPr>
            <w:drawing>
              <wp:inline distT="0" distB="0" distL="0" distR="0" wp14:anchorId="4B0B31EA" wp14:editId="0786BD8C">
                <wp:extent cx="702809" cy="752475"/>
                <wp:effectExtent l="0" t="0" r="254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uveau logo 2014.jpg"/>
                        <pic:cNvPicPr/>
                      </pic:nvPicPr>
                      <pic:blipFill>
                        <a:blip r:embed="rId1">
                          <a:extLst>
                            <a:ext uri="{28A0092B-C50C-407E-A947-70E740481C1C}">
                              <a14:useLocalDpi xmlns:a14="http://schemas.microsoft.com/office/drawing/2010/main" val="0"/>
                            </a:ext>
                          </a:extLst>
                        </a:blip>
                        <a:stretch>
                          <a:fillRect/>
                        </a:stretch>
                      </pic:blipFill>
                      <pic:spPr>
                        <a:xfrm>
                          <a:off x="0" y="0"/>
                          <a:ext cx="712040" cy="762359"/>
                        </a:xfrm>
                        <a:prstGeom prst="rect">
                          <a:avLst/>
                        </a:prstGeom>
                      </pic:spPr>
                    </pic:pic>
                  </a:graphicData>
                </a:graphic>
              </wp:inline>
            </w:drawing>
          </w:r>
        </w:p>
      </w:tc>
      <w:tc>
        <w:tcPr>
          <w:tcW w:w="7513" w:type="dxa"/>
          <w:vAlign w:val="center"/>
        </w:tcPr>
        <w:p w14:paraId="3285CBAF" w14:textId="77777777" w:rsidR="00D544C3" w:rsidRPr="000F4546" w:rsidRDefault="00D544C3" w:rsidP="00AD7FD4">
          <w:pPr>
            <w:pStyle w:val="En-tte"/>
            <w:tabs>
              <w:tab w:val="clear" w:pos="4536"/>
              <w:tab w:val="clear" w:pos="9072"/>
            </w:tabs>
            <w:ind w:right="34"/>
            <w:jc w:val="right"/>
            <w:rPr>
              <w:rFonts w:asciiTheme="minorBidi" w:hAnsiTheme="minorBidi"/>
              <w:b/>
              <w:bCs/>
              <w:sz w:val="20"/>
              <w:szCs w:val="20"/>
            </w:rPr>
          </w:pPr>
          <w:r w:rsidRPr="000F4546">
            <w:rPr>
              <w:rFonts w:asciiTheme="minorBidi" w:hAnsiTheme="minorBidi"/>
              <w:b/>
              <w:bCs/>
              <w:color w:val="A6BD3A"/>
              <w:sz w:val="20"/>
              <w:szCs w:val="20"/>
            </w:rPr>
            <w:t>www.fiphfp.fr</w:t>
          </w:r>
        </w:p>
      </w:tc>
    </w:tr>
  </w:tbl>
  <w:p w14:paraId="2B00AA35" w14:textId="77777777" w:rsidR="00D544C3" w:rsidRDefault="00D544C3" w:rsidP="0052762A">
    <w:pPr>
      <w:pStyle w:val="En-tte"/>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279"/>
    <w:multiLevelType w:val="multilevel"/>
    <w:tmpl w:val="34A85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10619"/>
    <w:multiLevelType w:val="multilevel"/>
    <w:tmpl w:val="34503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01366"/>
    <w:multiLevelType w:val="hybridMultilevel"/>
    <w:tmpl w:val="561AA268"/>
    <w:lvl w:ilvl="0" w:tplc="C4A814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9D4A14"/>
    <w:multiLevelType w:val="hybridMultilevel"/>
    <w:tmpl w:val="94B8DE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5B450F"/>
    <w:multiLevelType w:val="hybridMultilevel"/>
    <w:tmpl w:val="8AC2CEB8"/>
    <w:lvl w:ilvl="0" w:tplc="53A42302">
      <w:numFmt w:val="bullet"/>
      <w:lvlText w:val="-"/>
      <w:lvlJc w:val="left"/>
      <w:pPr>
        <w:ind w:left="1068" w:hanging="360"/>
      </w:pPr>
      <w:rPr>
        <w:rFonts w:ascii="Arial" w:eastAsiaTheme="minorEastAsia"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0E5F7A61"/>
    <w:multiLevelType w:val="hybridMultilevel"/>
    <w:tmpl w:val="6358A5FC"/>
    <w:lvl w:ilvl="0" w:tplc="360268F4">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51350B"/>
    <w:multiLevelType w:val="multilevel"/>
    <w:tmpl w:val="6CFEA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112E47"/>
    <w:multiLevelType w:val="multilevel"/>
    <w:tmpl w:val="264A2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E6036"/>
    <w:multiLevelType w:val="hybridMultilevel"/>
    <w:tmpl w:val="C64C0318"/>
    <w:lvl w:ilvl="0" w:tplc="FD4E5AB6">
      <w:start w:val="1"/>
      <w:numFmt w:val="lowerLetter"/>
      <w:lvlText w:val="%1."/>
      <w:lvlJc w:val="left"/>
      <w:pPr>
        <w:tabs>
          <w:tab w:val="num" w:pos="720"/>
        </w:tabs>
        <w:ind w:left="720" w:hanging="360"/>
      </w:pPr>
      <w:rPr>
        <w:rFonts w:hint="default"/>
        <w:color w:val="FF0000"/>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D974F9"/>
    <w:multiLevelType w:val="hybridMultilevel"/>
    <w:tmpl w:val="8C92229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15:restartNumberingAfterBreak="0">
    <w:nsid w:val="1DBD05F0"/>
    <w:multiLevelType w:val="hybridMultilevel"/>
    <w:tmpl w:val="E2BAA9D8"/>
    <w:lvl w:ilvl="0" w:tplc="E3C464A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80110C"/>
    <w:multiLevelType w:val="hybridMultilevel"/>
    <w:tmpl w:val="9B06BA9E"/>
    <w:lvl w:ilvl="0" w:tplc="040C000F">
      <w:start w:val="1"/>
      <w:numFmt w:val="decimal"/>
      <w:lvlText w:val="%1."/>
      <w:lvlJc w:val="left"/>
      <w:pPr>
        <w:ind w:left="720" w:hanging="360"/>
      </w:pPr>
    </w:lvl>
    <w:lvl w:ilvl="1" w:tplc="040C0019">
      <w:start w:val="1"/>
      <w:numFmt w:val="lowerLetter"/>
      <w:lvlText w:val="%2."/>
      <w:lvlJc w:val="left"/>
      <w:pPr>
        <w:ind w:left="928"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2555780E"/>
    <w:multiLevelType w:val="hybridMultilevel"/>
    <w:tmpl w:val="A8A68924"/>
    <w:lvl w:ilvl="0" w:tplc="B0A41082">
      <w:start w:val="3"/>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3" w15:restartNumberingAfterBreak="0">
    <w:nsid w:val="2B9B1FFC"/>
    <w:multiLevelType w:val="hybridMultilevel"/>
    <w:tmpl w:val="74EE4D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D1C3703"/>
    <w:multiLevelType w:val="multilevel"/>
    <w:tmpl w:val="543848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97436"/>
    <w:multiLevelType w:val="hybridMultilevel"/>
    <w:tmpl w:val="3C804856"/>
    <w:lvl w:ilvl="0" w:tplc="95C4EF7E">
      <w:start w:val="1"/>
      <w:numFmt w:val="bullet"/>
      <w:lvlText w:val=""/>
      <w:lvlJc w:val="left"/>
      <w:pPr>
        <w:tabs>
          <w:tab w:val="num" w:pos="1068"/>
        </w:tabs>
        <w:ind w:left="1068" w:hanging="360"/>
      </w:pPr>
      <w:rPr>
        <w:rFonts w:ascii="Wingdings" w:hAnsi="Wingdings" w:hint="default"/>
        <w:color w:val="FF0000"/>
        <w:sz w:val="16"/>
        <w:vertAlign w:val="subscript"/>
      </w:rPr>
    </w:lvl>
    <w:lvl w:ilvl="1" w:tplc="040C0003" w:tentative="1">
      <w:start w:val="1"/>
      <w:numFmt w:val="bullet"/>
      <w:lvlText w:val="o"/>
      <w:lvlJc w:val="left"/>
      <w:pPr>
        <w:tabs>
          <w:tab w:val="num" w:pos="348"/>
        </w:tabs>
        <w:ind w:left="348" w:hanging="360"/>
      </w:pPr>
      <w:rPr>
        <w:rFonts w:ascii="Courier New" w:hAnsi="Courier New" w:cs="Courier New" w:hint="default"/>
      </w:rPr>
    </w:lvl>
    <w:lvl w:ilvl="2" w:tplc="040C0005" w:tentative="1">
      <w:start w:val="1"/>
      <w:numFmt w:val="bullet"/>
      <w:lvlText w:val=""/>
      <w:lvlJc w:val="left"/>
      <w:pPr>
        <w:tabs>
          <w:tab w:val="num" w:pos="1068"/>
        </w:tabs>
        <w:ind w:left="1068" w:hanging="360"/>
      </w:pPr>
      <w:rPr>
        <w:rFonts w:ascii="Wingdings" w:hAnsi="Wingdings" w:hint="default"/>
      </w:rPr>
    </w:lvl>
    <w:lvl w:ilvl="3" w:tplc="040C0001" w:tentative="1">
      <w:start w:val="1"/>
      <w:numFmt w:val="bullet"/>
      <w:lvlText w:val=""/>
      <w:lvlJc w:val="left"/>
      <w:pPr>
        <w:tabs>
          <w:tab w:val="num" w:pos="1788"/>
        </w:tabs>
        <w:ind w:left="1788" w:hanging="360"/>
      </w:pPr>
      <w:rPr>
        <w:rFonts w:ascii="Symbol" w:hAnsi="Symbol" w:hint="default"/>
      </w:rPr>
    </w:lvl>
    <w:lvl w:ilvl="4" w:tplc="040C0003" w:tentative="1">
      <w:start w:val="1"/>
      <w:numFmt w:val="bullet"/>
      <w:lvlText w:val="o"/>
      <w:lvlJc w:val="left"/>
      <w:pPr>
        <w:tabs>
          <w:tab w:val="num" w:pos="2508"/>
        </w:tabs>
        <w:ind w:left="2508" w:hanging="360"/>
      </w:pPr>
      <w:rPr>
        <w:rFonts w:ascii="Courier New" w:hAnsi="Courier New" w:cs="Courier New" w:hint="default"/>
      </w:rPr>
    </w:lvl>
    <w:lvl w:ilvl="5" w:tplc="040C0005" w:tentative="1">
      <w:start w:val="1"/>
      <w:numFmt w:val="bullet"/>
      <w:lvlText w:val=""/>
      <w:lvlJc w:val="left"/>
      <w:pPr>
        <w:tabs>
          <w:tab w:val="num" w:pos="3228"/>
        </w:tabs>
        <w:ind w:left="3228" w:hanging="360"/>
      </w:pPr>
      <w:rPr>
        <w:rFonts w:ascii="Wingdings" w:hAnsi="Wingdings" w:hint="default"/>
      </w:rPr>
    </w:lvl>
    <w:lvl w:ilvl="6" w:tplc="040C0001" w:tentative="1">
      <w:start w:val="1"/>
      <w:numFmt w:val="bullet"/>
      <w:lvlText w:val=""/>
      <w:lvlJc w:val="left"/>
      <w:pPr>
        <w:tabs>
          <w:tab w:val="num" w:pos="3948"/>
        </w:tabs>
        <w:ind w:left="3948" w:hanging="360"/>
      </w:pPr>
      <w:rPr>
        <w:rFonts w:ascii="Symbol" w:hAnsi="Symbol" w:hint="default"/>
      </w:rPr>
    </w:lvl>
    <w:lvl w:ilvl="7" w:tplc="040C0003" w:tentative="1">
      <w:start w:val="1"/>
      <w:numFmt w:val="bullet"/>
      <w:lvlText w:val="o"/>
      <w:lvlJc w:val="left"/>
      <w:pPr>
        <w:tabs>
          <w:tab w:val="num" w:pos="4668"/>
        </w:tabs>
        <w:ind w:left="4668" w:hanging="360"/>
      </w:pPr>
      <w:rPr>
        <w:rFonts w:ascii="Courier New" w:hAnsi="Courier New" w:cs="Courier New" w:hint="default"/>
      </w:rPr>
    </w:lvl>
    <w:lvl w:ilvl="8" w:tplc="040C0005" w:tentative="1">
      <w:start w:val="1"/>
      <w:numFmt w:val="bullet"/>
      <w:lvlText w:val=""/>
      <w:lvlJc w:val="left"/>
      <w:pPr>
        <w:tabs>
          <w:tab w:val="num" w:pos="5388"/>
        </w:tabs>
        <w:ind w:left="5388" w:hanging="360"/>
      </w:pPr>
      <w:rPr>
        <w:rFonts w:ascii="Wingdings" w:hAnsi="Wingdings" w:hint="default"/>
      </w:rPr>
    </w:lvl>
  </w:abstractNum>
  <w:abstractNum w:abstractNumId="16" w15:restartNumberingAfterBreak="0">
    <w:nsid w:val="2E3442E5"/>
    <w:multiLevelType w:val="hybridMultilevel"/>
    <w:tmpl w:val="7E120F7A"/>
    <w:lvl w:ilvl="0" w:tplc="16761A9C">
      <w:start w:val="4"/>
      <w:numFmt w:val="lowerLetter"/>
      <w:lvlText w:val="%1."/>
      <w:lvlJc w:val="left"/>
      <w:pPr>
        <w:tabs>
          <w:tab w:val="num" w:pos="720"/>
        </w:tabs>
        <w:ind w:left="720" w:hanging="360"/>
      </w:pPr>
      <w:rPr>
        <w:rFonts w:hint="default"/>
        <w:color w:val="FF0000"/>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795A0D"/>
    <w:multiLevelType w:val="hybridMultilevel"/>
    <w:tmpl w:val="C2E41612"/>
    <w:lvl w:ilvl="0" w:tplc="096024B4">
      <w:start w:val="1"/>
      <w:numFmt w:val="bullet"/>
      <w:lvlText w:val=""/>
      <w:lvlJc w:val="left"/>
      <w:pPr>
        <w:tabs>
          <w:tab w:val="num" w:pos="720"/>
        </w:tabs>
        <w:ind w:left="720" w:hanging="360"/>
      </w:pPr>
      <w:rPr>
        <w:rFonts w:ascii="Wingdings" w:hAnsi="Wingdings" w:hint="default"/>
      </w:rPr>
    </w:lvl>
    <w:lvl w:ilvl="1" w:tplc="566A737E" w:tentative="1">
      <w:start w:val="1"/>
      <w:numFmt w:val="bullet"/>
      <w:lvlText w:val=""/>
      <w:lvlJc w:val="left"/>
      <w:pPr>
        <w:tabs>
          <w:tab w:val="num" w:pos="1440"/>
        </w:tabs>
        <w:ind w:left="1440" w:hanging="360"/>
      </w:pPr>
      <w:rPr>
        <w:rFonts w:ascii="Wingdings" w:hAnsi="Wingdings" w:hint="default"/>
      </w:rPr>
    </w:lvl>
    <w:lvl w:ilvl="2" w:tplc="46A0D006" w:tentative="1">
      <w:start w:val="1"/>
      <w:numFmt w:val="bullet"/>
      <w:lvlText w:val=""/>
      <w:lvlJc w:val="left"/>
      <w:pPr>
        <w:tabs>
          <w:tab w:val="num" w:pos="2160"/>
        </w:tabs>
        <w:ind w:left="2160" w:hanging="360"/>
      </w:pPr>
      <w:rPr>
        <w:rFonts w:ascii="Wingdings" w:hAnsi="Wingdings" w:hint="default"/>
      </w:rPr>
    </w:lvl>
    <w:lvl w:ilvl="3" w:tplc="346EF0A6" w:tentative="1">
      <w:start w:val="1"/>
      <w:numFmt w:val="bullet"/>
      <w:lvlText w:val=""/>
      <w:lvlJc w:val="left"/>
      <w:pPr>
        <w:tabs>
          <w:tab w:val="num" w:pos="2880"/>
        </w:tabs>
        <w:ind w:left="2880" w:hanging="360"/>
      </w:pPr>
      <w:rPr>
        <w:rFonts w:ascii="Wingdings" w:hAnsi="Wingdings" w:hint="default"/>
      </w:rPr>
    </w:lvl>
    <w:lvl w:ilvl="4" w:tplc="D884D8A6" w:tentative="1">
      <w:start w:val="1"/>
      <w:numFmt w:val="bullet"/>
      <w:lvlText w:val=""/>
      <w:lvlJc w:val="left"/>
      <w:pPr>
        <w:tabs>
          <w:tab w:val="num" w:pos="3600"/>
        </w:tabs>
        <w:ind w:left="3600" w:hanging="360"/>
      </w:pPr>
      <w:rPr>
        <w:rFonts w:ascii="Wingdings" w:hAnsi="Wingdings" w:hint="default"/>
      </w:rPr>
    </w:lvl>
    <w:lvl w:ilvl="5" w:tplc="1ADA97CA" w:tentative="1">
      <w:start w:val="1"/>
      <w:numFmt w:val="bullet"/>
      <w:lvlText w:val=""/>
      <w:lvlJc w:val="left"/>
      <w:pPr>
        <w:tabs>
          <w:tab w:val="num" w:pos="4320"/>
        </w:tabs>
        <w:ind w:left="4320" w:hanging="360"/>
      </w:pPr>
      <w:rPr>
        <w:rFonts w:ascii="Wingdings" w:hAnsi="Wingdings" w:hint="default"/>
      </w:rPr>
    </w:lvl>
    <w:lvl w:ilvl="6" w:tplc="980A2DF6" w:tentative="1">
      <w:start w:val="1"/>
      <w:numFmt w:val="bullet"/>
      <w:lvlText w:val=""/>
      <w:lvlJc w:val="left"/>
      <w:pPr>
        <w:tabs>
          <w:tab w:val="num" w:pos="5040"/>
        </w:tabs>
        <w:ind w:left="5040" w:hanging="360"/>
      </w:pPr>
      <w:rPr>
        <w:rFonts w:ascii="Wingdings" w:hAnsi="Wingdings" w:hint="default"/>
      </w:rPr>
    </w:lvl>
    <w:lvl w:ilvl="7" w:tplc="903E028A" w:tentative="1">
      <w:start w:val="1"/>
      <w:numFmt w:val="bullet"/>
      <w:lvlText w:val=""/>
      <w:lvlJc w:val="left"/>
      <w:pPr>
        <w:tabs>
          <w:tab w:val="num" w:pos="5760"/>
        </w:tabs>
        <w:ind w:left="5760" w:hanging="360"/>
      </w:pPr>
      <w:rPr>
        <w:rFonts w:ascii="Wingdings" w:hAnsi="Wingdings" w:hint="default"/>
      </w:rPr>
    </w:lvl>
    <w:lvl w:ilvl="8" w:tplc="A0B842E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4E603D"/>
    <w:multiLevelType w:val="multilevel"/>
    <w:tmpl w:val="C2441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25ACB"/>
    <w:multiLevelType w:val="multilevel"/>
    <w:tmpl w:val="B9404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6D02F0"/>
    <w:multiLevelType w:val="hybridMultilevel"/>
    <w:tmpl w:val="9E0EF8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36B1BBC"/>
    <w:multiLevelType w:val="multilevel"/>
    <w:tmpl w:val="2AC660D0"/>
    <w:lvl w:ilvl="0">
      <w:start w:val="1"/>
      <w:numFmt w:val="decimal"/>
      <w:lvlText w:val="%1."/>
      <w:lvlJc w:val="left"/>
      <w:pPr>
        <w:ind w:left="786"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631" w:hanging="108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4841" w:hanging="1440"/>
      </w:pPr>
      <w:rPr>
        <w:rFonts w:hint="default"/>
      </w:rPr>
    </w:lvl>
    <w:lvl w:ilvl="8">
      <w:start w:val="1"/>
      <w:numFmt w:val="decimal"/>
      <w:isLgl/>
      <w:lvlText w:val="%1.%2.%3.%4.%5.%6.%7.%8.%9"/>
      <w:lvlJc w:val="left"/>
      <w:pPr>
        <w:ind w:left="5626" w:hanging="1800"/>
      </w:pPr>
      <w:rPr>
        <w:rFonts w:hint="default"/>
      </w:rPr>
    </w:lvl>
  </w:abstractNum>
  <w:abstractNum w:abstractNumId="22" w15:restartNumberingAfterBreak="0">
    <w:nsid w:val="4456673C"/>
    <w:multiLevelType w:val="hybridMultilevel"/>
    <w:tmpl w:val="49E07952"/>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Courier New"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Courier New" w:hint="default"/>
      </w:rPr>
    </w:lvl>
    <w:lvl w:ilvl="8" w:tplc="040C0005">
      <w:start w:val="1"/>
      <w:numFmt w:val="bullet"/>
      <w:lvlText w:val=""/>
      <w:lvlJc w:val="left"/>
      <w:pPr>
        <w:ind w:left="7614" w:hanging="360"/>
      </w:pPr>
      <w:rPr>
        <w:rFonts w:ascii="Wingdings" w:hAnsi="Wingdings" w:hint="default"/>
      </w:rPr>
    </w:lvl>
  </w:abstractNum>
  <w:abstractNum w:abstractNumId="23" w15:restartNumberingAfterBreak="0">
    <w:nsid w:val="44BE66AD"/>
    <w:multiLevelType w:val="hybridMultilevel"/>
    <w:tmpl w:val="41086162"/>
    <w:lvl w:ilvl="0" w:tplc="6B0C03A4">
      <w:start w:val="2"/>
      <w:numFmt w:val="lowerLetter"/>
      <w:lvlText w:val="%1."/>
      <w:lvlJc w:val="left"/>
      <w:pPr>
        <w:tabs>
          <w:tab w:val="num" w:pos="720"/>
        </w:tabs>
        <w:ind w:left="720" w:hanging="360"/>
      </w:pPr>
      <w:rPr>
        <w:rFonts w:hint="default"/>
        <w:color w:val="FF0000"/>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F0E86"/>
    <w:multiLevelType w:val="multilevel"/>
    <w:tmpl w:val="D53C0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35526"/>
    <w:multiLevelType w:val="hybridMultilevel"/>
    <w:tmpl w:val="473644A0"/>
    <w:lvl w:ilvl="0" w:tplc="EF9010C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E871AD"/>
    <w:multiLevelType w:val="multilevel"/>
    <w:tmpl w:val="6F5C7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A34916"/>
    <w:multiLevelType w:val="multilevel"/>
    <w:tmpl w:val="767C1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5A0D0B"/>
    <w:multiLevelType w:val="hybridMultilevel"/>
    <w:tmpl w:val="E92E4704"/>
    <w:lvl w:ilvl="0" w:tplc="1B18D538">
      <w:start w:val="3"/>
      <w:numFmt w:val="lowerLetter"/>
      <w:lvlText w:val="%1."/>
      <w:lvlJc w:val="left"/>
      <w:pPr>
        <w:tabs>
          <w:tab w:val="num" w:pos="720"/>
        </w:tabs>
        <w:ind w:left="720" w:hanging="360"/>
      </w:pPr>
      <w:rPr>
        <w:rFonts w:hint="default"/>
        <w:color w:val="FF0000"/>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356494"/>
    <w:multiLevelType w:val="hybridMultilevel"/>
    <w:tmpl w:val="5290D0A0"/>
    <w:lvl w:ilvl="0" w:tplc="A8E0273A">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A967F0F"/>
    <w:multiLevelType w:val="hybridMultilevel"/>
    <w:tmpl w:val="8820AA5E"/>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1" w15:restartNumberingAfterBreak="0">
    <w:nsid w:val="61D61EA9"/>
    <w:multiLevelType w:val="hybridMultilevel"/>
    <w:tmpl w:val="2B223E42"/>
    <w:lvl w:ilvl="0" w:tplc="F01C08E2">
      <w:start w:val="1"/>
      <w:numFmt w:val="lowerLetter"/>
      <w:lvlText w:val="%1."/>
      <w:lvlJc w:val="left"/>
      <w:pPr>
        <w:tabs>
          <w:tab w:val="num" w:pos="720"/>
        </w:tabs>
        <w:ind w:left="720" w:hanging="36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62EC54C2"/>
    <w:multiLevelType w:val="multilevel"/>
    <w:tmpl w:val="962EE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8508FB"/>
    <w:multiLevelType w:val="multilevel"/>
    <w:tmpl w:val="4FAA8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F722D"/>
    <w:multiLevelType w:val="multilevel"/>
    <w:tmpl w:val="2AC660D0"/>
    <w:lvl w:ilvl="0">
      <w:start w:val="1"/>
      <w:numFmt w:val="decimal"/>
      <w:lvlText w:val="%1."/>
      <w:lvlJc w:val="left"/>
      <w:pPr>
        <w:ind w:left="786"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631" w:hanging="108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4841" w:hanging="1440"/>
      </w:pPr>
      <w:rPr>
        <w:rFonts w:hint="default"/>
      </w:rPr>
    </w:lvl>
    <w:lvl w:ilvl="8">
      <w:start w:val="1"/>
      <w:numFmt w:val="decimal"/>
      <w:isLgl/>
      <w:lvlText w:val="%1.%2.%3.%4.%5.%6.%7.%8.%9"/>
      <w:lvlJc w:val="left"/>
      <w:pPr>
        <w:ind w:left="5626" w:hanging="1800"/>
      </w:pPr>
      <w:rPr>
        <w:rFonts w:hint="default"/>
      </w:rPr>
    </w:lvl>
  </w:abstractNum>
  <w:abstractNum w:abstractNumId="35" w15:restartNumberingAfterBreak="0">
    <w:nsid w:val="6F89353B"/>
    <w:multiLevelType w:val="hybridMultilevel"/>
    <w:tmpl w:val="3794A20A"/>
    <w:lvl w:ilvl="0" w:tplc="62607ED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6465B1"/>
    <w:multiLevelType w:val="multilevel"/>
    <w:tmpl w:val="0F081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1"/>
  </w:num>
  <w:num w:numId="3">
    <w:abstractNumId w:val="20"/>
  </w:num>
  <w:num w:numId="4">
    <w:abstractNumId w:val="34"/>
  </w:num>
  <w:num w:numId="5">
    <w:abstractNumId w:val="2"/>
  </w:num>
  <w:num w:numId="6">
    <w:abstractNumId w:val="3"/>
  </w:num>
  <w:num w:numId="7">
    <w:abstractNumId w:val="35"/>
  </w:num>
  <w:num w:numId="8">
    <w:abstractNumId w:val="5"/>
  </w:num>
  <w:num w:numId="9">
    <w:abstractNumId w:val="31"/>
  </w:num>
  <w:num w:numId="10">
    <w:abstractNumId w:val="8"/>
  </w:num>
  <w:num w:numId="11">
    <w:abstractNumId w:val="23"/>
  </w:num>
  <w:num w:numId="12">
    <w:abstractNumId w:val="28"/>
  </w:num>
  <w:num w:numId="13">
    <w:abstractNumId w:val="16"/>
  </w:num>
  <w:num w:numId="14">
    <w:abstractNumId w:val="15"/>
  </w:num>
  <w:num w:numId="15">
    <w:abstractNumId w:val="25"/>
  </w:num>
  <w:num w:numId="16">
    <w:abstractNumId w:val="10"/>
  </w:num>
  <w:num w:numId="17">
    <w:abstractNumId w:val="12"/>
  </w:num>
  <w:num w:numId="18">
    <w:abstractNumId w:val="9"/>
  </w:num>
  <w:num w:numId="19">
    <w:abstractNumId w:val="29"/>
  </w:num>
  <w:num w:numId="20">
    <w:abstractNumId w:val="17"/>
  </w:num>
  <w:num w:numId="21">
    <w:abstractNumId w:val="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7"/>
  </w:num>
  <w:num w:numId="25">
    <w:abstractNumId w:val="0"/>
  </w:num>
  <w:num w:numId="26">
    <w:abstractNumId w:val="32"/>
  </w:num>
  <w:num w:numId="27">
    <w:abstractNumId w:val="27"/>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3"/>
  </w:num>
  <w:num w:numId="31">
    <w:abstractNumId w:val="26"/>
  </w:num>
  <w:num w:numId="32">
    <w:abstractNumId w:val="14"/>
  </w:num>
  <w:num w:numId="33">
    <w:abstractNumId w:val="13"/>
  </w:num>
  <w:num w:numId="34">
    <w:abstractNumId w:val="22"/>
  </w:num>
  <w:num w:numId="35">
    <w:abstractNumId w:val="1"/>
  </w:num>
  <w:num w:numId="36">
    <w:abstractNumId w:val="3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21"/>
    <w:rsid w:val="00036737"/>
    <w:rsid w:val="000367AE"/>
    <w:rsid w:val="00042E94"/>
    <w:rsid w:val="00043831"/>
    <w:rsid w:val="00050809"/>
    <w:rsid w:val="00055EFA"/>
    <w:rsid w:val="00067906"/>
    <w:rsid w:val="000864ED"/>
    <w:rsid w:val="000E2EFD"/>
    <w:rsid w:val="000F4546"/>
    <w:rsid w:val="000F58EC"/>
    <w:rsid w:val="00110348"/>
    <w:rsid w:val="0011622A"/>
    <w:rsid w:val="00144D92"/>
    <w:rsid w:val="00154E59"/>
    <w:rsid w:val="00175560"/>
    <w:rsid w:val="001859EB"/>
    <w:rsid w:val="001B05B2"/>
    <w:rsid w:val="001B228E"/>
    <w:rsid w:val="001D0ACE"/>
    <w:rsid w:val="001D380C"/>
    <w:rsid w:val="001E313C"/>
    <w:rsid w:val="001E6ED6"/>
    <w:rsid w:val="00214012"/>
    <w:rsid w:val="00216AE3"/>
    <w:rsid w:val="0022092C"/>
    <w:rsid w:val="002427EF"/>
    <w:rsid w:val="002A7617"/>
    <w:rsid w:val="002C0BC2"/>
    <w:rsid w:val="002C2B89"/>
    <w:rsid w:val="002D4583"/>
    <w:rsid w:val="00333B4D"/>
    <w:rsid w:val="00345896"/>
    <w:rsid w:val="00385979"/>
    <w:rsid w:val="00391BAF"/>
    <w:rsid w:val="003B52B7"/>
    <w:rsid w:val="003C62E2"/>
    <w:rsid w:val="003D5DDD"/>
    <w:rsid w:val="003E34A8"/>
    <w:rsid w:val="00407899"/>
    <w:rsid w:val="00425CD7"/>
    <w:rsid w:val="00425D72"/>
    <w:rsid w:val="0046485C"/>
    <w:rsid w:val="00465068"/>
    <w:rsid w:val="00472EDB"/>
    <w:rsid w:val="004A0805"/>
    <w:rsid w:val="004C542D"/>
    <w:rsid w:val="004D6C02"/>
    <w:rsid w:val="004E1208"/>
    <w:rsid w:val="00505EAF"/>
    <w:rsid w:val="0052762A"/>
    <w:rsid w:val="005327BC"/>
    <w:rsid w:val="00542774"/>
    <w:rsid w:val="00550120"/>
    <w:rsid w:val="00586F52"/>
    <w:rsid w:val="00593244"/>
    <w:rsid w:val="005B5006"/>
    <w:rsid w:val="00614120"/>
    <w:rsid w:val="00623E7D"/>
    <w:rsid w:val="00663CC2"/>
    <w:rsid w:val="00664F57"/>
    <w:rsid w:val="0067077F"/>
    <w:rsid w:val="006A7253"/>
    <w:rsid w:val="006E55C6"/>
    <w:rsid w:val="006E75B6"/>
    <w:rsid w:val="00704181"/>
    <w:rsid w:val="00737346"/>
    <w:rsid w:val="00744332"/>
    <w:rsid w:val="00747D15"/>
    <w:rsid w:val="007705BE"/>
    <w:rsid w:val="00780C6F"/>
    <w:rsid w:val="00784217"/>
    <w:rsid w:val="00791541"/>
    <w:rsid w:val="007A2966"/>
    <w:rsid w:val="007B091F"/>
    <w:rsid w:val="007B6FD8"/>
    <w:rsid w:val="007D3868"/>
    <w:rsid w:val="007F1D23"/>
    <w:rsid w:val="00845F5A"/>
    <w:rsid w:val="00857683"/>
    <w:rsid w:val="00880E8F"/>
    <w:rsid w:val="00884617"/>
    <w:rsid w:val="00895523"/>
    <w:rsid w:val="008E014A"/>
    <w:rsid w:val="009262E2"/>
    <w:rsid w:val="0093567D"/>
    <w:rsid w:val="00951629"/>
    <w:rsid w:val="00981AA1"/>
    <w:rsid w:val="009A2DF1"/>
    <w:rsid w:val="009B7279"/>
    <w:rsid w:val="009B7F28"/>
    <w:rsid w:val="009C1821"/>
    <w:rsid w:val="009D3EA7"/>
    <w:rsid w:val="009E56FE"/>
    <w:rsid w:val="00A018A9"/>
    <w:rsid w:val="00A10C6B"/>
    <w:rsid w:val="00A14938"/>
    <w:rsid w:val="00A3121C"/>
    <w:rsid w:val="00A347A4"/>
    <w:rsid w:val="00A355AD"/>
    <w:rsid w:val="00A8189F"/>
    <w:rsid w:val="00AC1A77"/>
    <w:rsid w:val="00AD7FD4"/>
    <w:rsid w:val="00AE0AFF"/>
    <w:rsid w:val="00AF1369"/>
    <w:rsid w:val="00AF2C2F"/>
    <w:rsid w:val="00AF59C5"/>
    <w:rsid w:val="00B07C58"/>
    <w:rsid w:val="00B20245"/>
    <w:rsid w:val="00B33725"/>
    <w:rsid w:val="00B4412B"/>
    <w:rsid w:val="00B642D9"/>
    <w:rsid w:val="00B836B5"/>
    <w:rsid w:val="00B92223"/>
    <w:rsid w:val="00BA519E"/>
    <w:rsid w:val="00BC2C5F"/>
    <w:rsid w:val="00BD6F72"/>
    <w:rsid w:val="00BF25B6"/>
    <w:rsid w:val="00C0318C"/>
    <w:rsid w:val="00C51B5E"/>
    <w:rsid w:val="00C55BE5"/>
    <w:rsid w:val="00C75DD5"/>
    <w:rsid w:val="00C85449"/>
    <w:rsid w:val="00CB2636"/>
    <w:rsid w:val="00CB3837"/>
    <w:rsid w:val="00CC7352"/>
    <w:rsid w:val="00CD6CD4"/>
    <w:rsid w:val="00D31064"/>
    <w:rsid w:val="00D51CEA"/>
    <w:rsid w:val="00D544C3"/>
    <w:rsid w:val="00D56FAB"/>
    <w:rsid w:val="00D647F0"/>
    <w:rsid w:val="00D903EE"/>
    <w:rsid w:val="00DA1C16"/>
    <w:rsid w:val="00DA4810"/>
    <w:rsid w:val="00DC4BD5"/>
    <w:rsid w:val="00DD269C"/>
    <w:rsid w:val="00DD2BC2"/>
    <w:rsid w:val="00DD6D29"/>
    <w:rsid w:val="00DF5C1A"/>
    <w:rsid w:val="00E054F9"/>
    <w:rsid w:val="00E11A4E"/>
    <w:rsid w:val="00E12ECC"/>
    <w:rsid w:val="00E13614"/>
    <w:rsid w:val="00E252F4"/>
    <w:rsid w:val="00E35512"/>
    <w:rsid w:val="00E41BDA"/>
    <w:rsid w:val="00E44B58"/>
    <w:rsid w:val="00E60B19"/>
    <w:rsid w:val="00E70DB8"/>
    <w:rsid w:val="00EA21C7"/>
    <w:rsid w:val="00EA4105"/>
    <w:rsid w:val="00EB1564"/>
    <w:rsid w:val="00EC700E"/>
    <w:rsid w:val="00F12CEC"/>
    <w:rsid w:val="00F3264C"/>
    <w:rsid w:val="00F82933"/>
    <w:rsid w:val="00F87A1C"/>
    <w:rsid w:val="00F9225E"/>
    <w:rsid w:val="00FB23A9"/>
    <w:rsid w:val="00FC0C9C"/>
    <w:rsid w:val="00FD321B"/>
    <w:rsid w:val="00FF0A99"/>
  </w:rsids>
  <m:mathPr>
    <m:mathFont m:val="Cambria Math"/>
    <m:brkBin m:val="before"/>
    <m:brkBinSub m:val="--"/>
    <m:smallFrac m:val="0"/>
    <m:dispDef/>
    <m:lMargin m:val="0"/>
    <m:rMargin m:val="0"/>
    <m:defJc m:val="centerGroup"/>
    <m:wrapIndent m:val="1440"/>
    <m:intLim m:val="subSup"/>
    <m:naryLim m:val="undOvr"/>
  </m:mathPr>
  <w:themeFontLang w:val="fr-FR" w:eastAsia="zh-CN"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0E8F3"/>
  <w15:docId w15:val="{C6000447-603E-47FB-AF25-CA480625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00E"/>
    <w:pPr>
      <w:spacing w:after="0" w:line="240" w:lineRule="auto"/>
    </w:pPr>
    <w:rPr>
      <w:rFonts w:ascii="FuturaTBoo" w:eastAsia="Cambria" w:hAnsi="FuturaTBoo" w:cs="Times New Roman"/>
      <w:szCs w:val="24"/>
    </w:rPr>
  </w:style>
  <w:style w:type="paragraph" w:styleId="Titre2">
    <w:name w:val="heading 2"/>
    <w:basedOn w:val="Normal"/>
    <w:next w:val="Normal"/>
    <w:link w:val="Titre2Car"/>
    <w:uiPriority w:val="9"/>
    <w:semiHidden/>
    <w:unhideWhenUsed/>
    <w:qFormat/>
    <w:rsid w:val="009B7F28"/>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1821"/>
    <w:pPr>
      <w:tabs>
        <w:tab w:val="center" w:pos="4536"/>
        <w:tab w:val="right" w:pos="9072"/>
      </w:tabs>
    </w:pPr>
    <w:rPr>
      <w:rFonts w:asciiTheme="minorHAnsi" w:eastAsiaTheme="minorHAnsi" w:hAnsiTheme="minorHAnsi" w:cstheme="minorBidi"/>
      <w:szCs w:val="22"/>
    </w:rPr>
  </w:style>
  <w:style w:type="character" w:customStyle="1" w:styleId="En-tteCar">
    <w:name w:val="En-tête Car"/>
    <w:basedOn w:val="Policepardfaut"/>
    <w:link w:val="En-tte"/>
    <w:uiPriority w:val="99"/>
    <w:rsid w:val="009C1821"/>
  </w:style>
  <w:style w:type="paragraph" w:styleId="Pieddepage">
    <w:name w:val="footer"/>
    <w:basedOn w:val="Normal"/>
    <w:link w:val="PieddepageCar"/>
    <w:uiPriority w:val="99"/>
    <w:unhideWhenUsed/>
    <w:rsid w:val="009C1821"/>
    <w:pPr>
      <w:tabs>
        <w:tab w:val="center" w:pos="4536"/>
        <w:tab w:val="right" w:pos="9072"/>
      </w:tabs>
    </w:pPr>
    <w:rPr>
      <w:rFonts w:asciiTheme="minorHAnsi" w:eastAsiaTheme="minorHAnsi" w:hAnsiTheme="minorHAnsi" w:cstheme="minorBidi"/>
      <w:szCs w:val="22"/>
    </w:rPr>
  </w:style>
  <w:style w:type="character" w:customStyle="1" w:styleId="PieddepageCar">
    <w:name w:val="Pied de page Car"/>
    <w:basedOn w:val="Policepardfaut"/>
    <w:link w:val="Pieddepage"/>
    <w:uiPriority w:val="99"/>
    <w:rsid w:val="009C1821"/>
  </w:style>
  <w:style w:type="paragraph" w:styleId="Textedebulles">
    <w:name w:val="Balloon Text"/>
    <w:basedOn w:val="Normal"/>
    <w:link w:val="TextedebullesCar"/>
    <w:uiPriority w:val="99"/>
    <w:semiHidden/>
    <w:unhideWhenUsed/>
    <w:rsid w:val="009C1821"/>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9C1821"/>
    <w:rPr>
      <w:rFonts w:ascii="Tahoma" w:hAnsi="Tahoma" w:cs="Tahoma"/>
      <w:sz w:val="16"/>
      <w:szCs w:val="16"/>
    </w:rPr>
  </w:style>
  <w:style w:type="table" w:styleId="Grilledutableau">
    <w:name w:val="Table Grid"/>
    <w:basedOn w:val="TableauNormal"/>
    <w:uiPriority w:val="59"/>
    <w:rsid w:val="009C1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3264C"/>
    <w:rPr>
      <w:color w:val="0000FF" w:themeColor="hyperlink"/>
      <w:u w:val="single"/>
    </w:rPr>
  </w:style>
  <w:style w:type="paragraph" w:customStyle="1" w:styleId="CharChar1">
    <w:name w:val="Char Char1"/>
    <w:basedOn w:val="Normal"/>
    <w:rsid w:val="00EC700E"/>
    <w:pPr>
      <w:spacing w:after="160" w:line="240" w:lineRule="exact"/>
      <w:jc w:val="both"/>
    </w:pPr>
    <w:rPr>
      <w:rFonts w:ascii="Tahoma" w:eastAsia="Times New Roman" w:hAnsi="Tahoma" w:cs="Arial"/>
      <w:bCs/>
      <w:sz w:val="24"/>
      <w:szCs w:val="20"/>
      <w:lang w:val="en-US"/>
    </w:rPr>
  </w:style>
  <w:style w:type="paragraph" w:customStyle="1" w:styleId="CharChar10">
    <w:name w:val="Char Char1"/>
    <w:basedOn w:val="Normal"/>
    <w:rsid w:val="002C2B89"/>
    <w:pPr>
      <w:spacing w:after="160" w:line="240" w:lineRule="exact"/>
      <w:jc w:val="both"/>
    </w:pPr>
    <w:rPr>
      <w:rFonts w:ascii="Tahoma" w:eastAsia="Times New Roman" w:hAnsi="Tahoma" w:cs="Arial"/>
      <w:bCs/>
      <w:sz w:val="24"/>
      <w:szCs w:val="20"/>
      <w:lang w:val="en-US"/>
    </w:rPr>
  </w:style>
  <w:style w:type="paragraph" w:styleId="Paragraphedeliste">
    <w:name w:val="List Paragraph"/>
    <w:basedOn w:val="Normal"/>
    <w:link w:val="ParagraphedelisteCar"/>
    <w:uiPriority w:val="34"/>
    <w:qFormat/>
    <w:rsid w:val="0052762A"/>
    <w:pPr>
      <w:ind w:left="720"/>
    </w:pPr>
    <w:rPr>
      <w:rFonts w:ascii="Calibri" w:eastAsiaTheme="minorHAnsi" w:hAnsi="Calibri" w:cs="Calibri"/>
      <w:szCs w:val="22"/>
    </w:rPr>
  </w:style>
  <w:style w:type="character" w:customStyle="1" w:styleId="ParagraphedelisteCar">
    <w:name w:val="Paragraphe de liste Car"/>
    <w:link w:val="Paragraphedeliste"/>
    <w:uiPriority w:val="34"/>
    <w:rsid w:val="0052762A"/>
    <w:rPr>
      <w:rFonts w:ascii="Calibri" w:hAnsi="Calibri" w:cs="Calibri"/>
    </w:rPr>
  </w:style>
  <w:style w:type="character" w:customStyle="1" w:styleId="NotedebasdepageCar">
    <w:name w:val="Note de bas de page Car"/>
    <w:basedOn w:val="Policepardfaut"/>
    <w:link w:val="Notedebasdepage"/>
    <w:semiHidden/>
    <w:rsid w:val="00D544C3"/>
    <w:rPr>
      <w:rFonts w:ascii="Times New Roman" w:eastAsia="Times New Roman" w:hAnsi="Times New Roman" w:cs="Times New Roman"/>
      <w:sz w:val="20"/>
      <w:szCs w:val="20"/>
      <w:lang w:eastAsia="fr-FR"/>
    </w:rPr>
  </w:style>
  <w:style w:type="paragraph" w:styleId="Notedebasdepage">
    <w:name w:val="footnote text"/>
    <w:basedOn w:val="Normal"/>
    <w:link w:val="NotedebasdepageCar"/>
    <w:semiHidden/>
    <w:rsid w:val="00D544C3"/>
    <w:rPr>
      <w:rFonts w:ascii="Times New Roman" w:eastAsia="Times New Roman" w:hAnsi="Times New Roman"/>
      <w:sz w:val="20"/>
      <w:szCs w:val="20"/>
      <w:lang w:eastAsia="fr-FR"/>
    </w:rPr>
  </w:style>
  <w:style w:type="paragraph" w:customStyle="1" w:styleId="Pa4">
    <w:name w:val="Pa4"/>
    <w:basedOn w:val="Normal"/>
    <w:next w:val="Normal"/>
    <w:uiPriority w:val="99"/>
    <w:rsid w:val="00D544C3"/>
    <w:pPr>
      <w:autoSpaceDE w:val="0"/>
      <w:autoSpaceDN w:val="0"/>
      <w:adjustRightInd w:val="0"/>
      <w:spacing w:line="241" w:lineRule="atLeast"/>
    </w:pPr>
    <w:rPr>
      <w:rFonts w:ascii="Lato" w:eastAsiaTheme="minorHAnsi" w:hAnsi="Lato" w:cstheme="minorBidi"/>
      <w:sz w:val="24"/>
    </w:rPr>
  </w:style>
  <w:style w:type="paragraph" w:styleId="NormalWeb">
    <w:name w:val="Normal (Web)"/>
    <w:basedOn w:val="Normal"/>
    <w:uiPriority w:val="99"/>
    <w:semiHidden/>
    <w:unhideWhenUsed/>
    <w:rsid w:val="003B52B7"/>
    <w:pPr>
      <w:spacing w:before="100" w:beforeAutospacing="1" w:after="100" w:afterAutospacing="1"/>
    </w:pPr>
    <w:rPr>
      <w:rFonts w:ascii="Times New Roman" w:eastAsia="Times New Roman" w:hAnsi="Times New Roman"/>
      <w:sz w:val="24"/>
      <w:lang w:eastAsia="fr-FR"/>
    </w:rPr>
  </w:style>
  <w:style w:type="character" w:styleId="Mentionnonrsolue">
    <w:name w:val="Unresolved Mention"/>
    <w:basedOn w:val="Policepardfaut"/>
    <w:uiPriority w:val="99"/>
    <w:semiHidden/>
    <w:unhideWhenUsed/>
    <w:rsid w:val="006A7253"/>
    <w:rPr>
      <w:color w:val="808080"/>
      <w:shd w:val="clear" w:color="auto" w:fill="E6E6E6"/>
    </w:rPr>
  </w:style>
  <w:style w:type="character" w:styleId="Marquedecommentaire">
    <w:name w:val="annotation reference"/>
    <w:basedOn w:val="Policepardfaut"/>
    <w:uiPriority w:val="99"/>
    <w:semiHidden/>
    <w:unhideWhenUsed/>
    <w:rsid w:val="006A7253"/>
    <w:rPr>
      <w:sz w:val="16"/>
      <w:szCs w:val="16"/>
    </w:rPr>
  </w:style>
  <w:style w:type="paragraph" w:styleId="Commentaire">
    <w:name w:val="annotation text"/>
    <w:basedOn w:val="Normal"/>
    <w:link w:val="CommentaireCar"/>
    <w:uiPriority w:val="99"/>
    <w:semiHidden/>
    <w:unhideWhenUsed/>
    <w:rsid w:val="006A7253"/>
    <w:rPr>
      <w:sz w:val="20"/>
      <w:szCs w:val="20"/>
    </w:rPr>
  </w:style>
  <w:style w:type="character" w:customStyle="1" w:styleId="CommentaireCar">
    <w:name w:val="Commentaire Car"/>
    <w:basedOn w:val="Policepardfaut"/>
    <w:link w:val="Commentaire"/>
    <w:uiPriority w:val="99"/>
    <w:semiHidden/>
    <w:rsid w:val="006A7253"/>
    <w:rPr>
      <w:rFonts w:ascii="FuturaTBoo" w:eastAsia="Cambria" w:hAnsi="FuturaTBoo" w:cs="Times New Roman"/>
      <w:sz w:val="20"/>
      <w:szCs w:val="20"/>
    </w:rPr>
  </w:style>
  <w:style w:type="paragraph" w:styleId="Objetducommentaire">
    <w:name w:val="annotation subject"/>
    <w:basedOn w:val="Commentaire"/>
    <w:next w:val="Commentaire"/>
    <w:link w:val="ObjetducommentaireCar"/>
    <w:uiPriority w:val="99"/>
    <w:semiHidden/>
    <w:unhideWhenUsed/>
    <w:rsid w:val="006A7253"/>
    <w:rPr>
      <w:b/>
      <w:bCs/>
    </w:rPr>
  </w:style>
  <w:style w:type="character" w:customStyle="1" w:styleId="ObjetducommentaireCar">
    <w:name w:val="Objet du commentaire Car"/>
    <w:basedOn w:val="CommentaireCar"/>
    <w:link w:val="Objetducommentaire"/>
    <w:uiPriority w:val="99"/>
    <w:semiHidden/>
    <w:rsid w:val="006A7253"/>
    <w:rPr>
      <w:rFonts w:ascii="FuturaTBoo" w:eastAsia="Cambria" w:hAnsi="FuturaTBoo" w:cs="Times New Roman"/>
      <w:b/>
      <w:bCs/>
      <w:sz w:val="20"/>
      <w:szCs w:val="20"/>
    </w:rPr>
  </w:style>
  <w:style w:type="character" w:styleId="lev">
    <w:name w:val="Strong"/>
    <w:basedOn w:val="Policepardfaut"/>
    <w:uiPriority w:val="22"/>
    <w:qFormat/>
    <w:rsid w:val="009B7F28"/>
    <w:rPr>
      <w:b/>
      <w:bCs/>
    </w:rPr>
  </w:style>
  <w:style w:type="character" w:customStyle="1" w:styleId="Titre2Car">
    <w:name w:val="Titre 2 Car"/>
    <w:basedOn w:val="Policepardfaut"/>
    <w:link w:val="Titre2"/>
    <w:uiPriority w:val="9"/>
    <w:semiHidden/>
    <w:rsid w:val="009B7F28"/>
    <w:rPr>
      <w:rFonts w:asciiTheme="majorHAnsi" w:eastAsiaTheme="majorEastAsia" w:hAnsiTheme="majorHAnsi" w:cstheme="majorBidi"/>
      <w:color w:val="365F91" w:themeColor="accent1" w:themeShade="BF"/>
      <w:sz w:val="26"/>
      <w:szCs w:val="26"/>
    </w:rPr>
  </w:style>
  <w:style w:type="character" w:styleId="Appelnotedebasdep">
    <w:name w:val="footnote reference"/>
    <w:basedOn w:val="Policepardfaut"/>
    <w:semiHidden/>
    <w:unhideWhenUsed/>
    <w:rsid w:val="00144D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3904">
      <w:bodyDiv w:val="1"/>
      <w:marLeft w:val="0"/>
      <w:marRight w:val="0"/>
      <w:marTop w:val="0"/>
      <w:marBottom w:val="0"/>
      <w:divBdr>
        <w:top w:val="none" w:sz="0" w:space="0" w:color="auto"/>
        <w:left w:val="none" w:sz="0" w:space="0" w:color="auto"/>
        <w:bottom w:val="none" w:sz="0" w:space="0" w:color="auto"/>
        <w:right w:val="none" w:sz="0" w:space="0" w:color="auto"/>
      </w:divBdr>
    </w:div>
    <w:div w:id="486438755">
      <w:bodyDiv w:val="1"/>
      <w:marLeft w:val="0"/>
      <w:marRight w:val="0"/>
      <w:marTop w:val="0"/>
      <w:marBottom w:val="0"/>
      <w:divBdr>
        <w:top w:val="none" w:sz="0" w:space="0" w:color="auto"/>
        <w:left w:val="none" w:sz="0" w:space="0" w:color="auto"/>
        <w:bottom w:val="none" w:sz="0" w:space="0" w:color="auto"/>
        <w:right w:val="none" w:sz="0" w:space="0" w:color="auto"/>
      </w:divBdr>
    </w:div>
    <w:div w:id="670832244">
      <w:bodyDiv w:val="1"/>
      <w:marLeft w:val="0"/>
      <w:marRight w:val="0"/>
      <w:marTop w:val="0"/>
      <w:marBottom w:val="0"/>
      <w:divBdr>
        <w:top w:val="none" w:sz="0" w:space="0" w:color="auto"/>
        <w:left w:val="none" w:sz="0" w:space="0" w:color="auto"/>
        <w:bottom w:val="none" w:sz="0" w:space="0" w:color="auto"/>
        <w:right w:val="none" w:sz="0" w:space="0" w:color="auto"/>
      </w:divBdr>
    </w:div>
    <w:div w:id="1039167309">
      <w:bodyDiv w:val="1"/>
      <w:marLeft w:val="0"/>
      <w:marRight w:val="0"/>
      <w:marTop w:val="0"/>
      <w:marBottom w:val="0"/>
      <w:divBdr>
        <w:top w:val="none" w:sz="0" w:space="0" w:color="auto"/>
        <w:left w:val="none" w:sz="0" w:space="0" w:color="auto"/>
        <w:bottom w:val="none" w:sz="0" w:space="0" w:color="auto"/>
        <w:right w:val="none" w:sz="0" w:space="0" w:color="auto"/>
      </w:divBdr>
    </w:div>
    <w:div w:id="1102258945">
      <w:bodyDiv w:val="1"/>
      <w:marLeft w:val="0"/>
      <w:marRight w:val="0"/>
      <w:marTop w:val="0"/>
      <w:marBottom w:val="0"/>
      <w:divBdr>
        <w:top w:val="none" w:sz="0" w:space="0" w:color="auto"/>
        <w:left w:val="none" w:sz="0" w:space="0" w:color="auto"/>
        <w:bottom w:val="none" w:sz="0" w:space="0" w:color="auto"/>
        <w:right w:val="none" w:sz="0" w:space="0" w:color="auto"/>
      </w:divBdr>
    </w:div>
    <w:div w:id="1265112669">
      <w:bodyDiv w:val="1"/>
      <w:marLeft w:val="0"/>
      <w:marRight w:val="0"/>
      <w:marTop w:val="0"/>
      <w:marBottom w:val="0"/>
      <w:divBdr>
        <w:top w:val="none" w:sz="0" w:space="0" w:color="auto"/>
        <w:left w:val="none" w:sz="0" w:space="0" w:color="auto"/>
        <w:bottom w:val="none" w:sz="0" w:space="0" w:color="auto"/>
        <w:right w:val="none" w:sz="0" w:space="0" w:color="auto"/>
      </w:divBdr>
    </w:div>
    <w:div w:id="1538814194">
      <w:bodyDiv w:val="1"/>
      <w:marLeft w:val="0"/>
      <w:marRight w:val="0"/>
      <w:marTop w:val="0"/>
      <w:marBottom w:val="0"/>
      <w:divBdr>
        <w:top w:val="none" w:sz="0" w:space="0" w:color="auto"/>
        <w:left w:val="none" w:sz="0" w:space="0" w:color="auto"/>
        <w:bottom w:val="none" w:sz="0" w:space="0" w:color="auto"/>
        <w:right w:val="none" w:sz="0" w:space="0" w:color="auto"/>
      </w:divBdr>
    </w:div>
    <w:div w:id="1757483321">
      <w:bodyDiv w:val="1"/>
      <w:marLeft w:val="0"/>
      <w:marRight w:val="0"/>
      <w:marTop w:val="0"/>
      <w:marBottom w:val="0"/>
      <w:divBdr>
        <w:top w:val="none" w:sz="0" w:space="0" w:color="auto"/>
        <w:left w:val="none" w:sz="0" w:space="0" w:color="auto"/>
        <w:bottom w:val="none" w:sz="0" w:space="0" w:color="auto"/>
        <w:right w:val="none" w:sz="0" w:space="0" w:color="auto"/>
      </w:divBdr>
    </w:div>
    <w:div w:id="1874927739">
      <w:bodyDiv w:val="1"/>
      <w:marLeft w:val="0"/>
      <w:marRight w:val="0"/>
      <w:marTop w:val="0"/>
      <w:marBottom w:val="0"/>
      <w:divBdr>
        <w:top w:val="none" w:sz="0" w:space="0" w:color="auto"/>
        <w:left w:val="none" w:sz="0" w:space="0" w:color="auto"/>
        <w:bottom w:val="none" w:sz="0" w:space="0" w:color="auto"/>
        <w:right w:val="none" w:sz="0" w:space="0" w:color="auto"/>
      </w:divBdr>
    </w:div>
    <w:div w:id="1985431146">
      <w:bodyDiv w:val="1"/>
      <w:marLeft w:val="0"/>
      <w:marRight w:val="0"/>
      <w:marTop w:val="0"/>
      <w:marBottom w:val="0"/>
      <w:divBdr>
        <w:top w:val="none" w:sz="0" w:space="0" w:color="auto"/>
        <w:left w:val="none" w:sz="0" w:space="0" w:color="auto"/>
        <w:bottom w:val="none" w:sz="0" w:space="0" w:color="auto"/>
        <w:right w:val="none" w:sz="0" w:space="0" w:color="auto"/>
      </w:divBdr>
    </w:div>
    <w:div w:id="20402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0F4E8-F8CB-B248-9333-D5A1D359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2591</Words>
  <Characters>14256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ICDC</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Francois, Nicole</dc:creator>
  <cp:lastModifiedBy>Utilisateur Microsoft Office</cp:lastModifiedBy>
  <cp:revision>2</cp:revision>
  <cp:lastPrinted>2018-07-06T07:06:00Z</cp:lastPrinted>
  <dcterms:created xsi:type="dcterms:W3CDTF">2019-09-23T17:23:00Z</dcterms:created>
  <dcterms:modified xsi:type="dcterms:W3CDTF">2019-09-23T17:23:00Z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6b0da4-3db3-477f-aae7-ffa237cfc891_Enabled">
    <vt:lpwstr>True</vt:lpwstr>
  </property>
  <property fmtid="{D5CDD505-2E9C-101B-9397-08002B2CF9AE}" pid="3" name="MSIP_Label_526b0da4-3db3-477f-aae7-ffa237cfc891_SiteId">
    <vt:lpwstr>6eab6365-8194-49c6-a4d0-e2d1a0fbeb74</vt:lpwstr>
  </property>
  <property fmtid="{D5CDD505-2E9C-101B-9397-08002B2CF9AE}" pid="4" name="MSIP_Label_526b0da4-3db3-477f-aae7-ffa237cfc891_Ref">
    <vt:lpwstr>https://api.informationprotection.azure.com/api/6eab6365-8194-49c6-a4d0-e2d1a0fbeb74</vt:lpwstr>
  </property>
  <property fmtid="{D5CDD505-2E9C-101B-9397-08002B2CF9AE}" pid="5" name="MSIP_Label_526b0da4-3db3-477f-aae7-ffa237cfc891_Owner">
    <vt:lpwstr>Remi.Lasnier@caissedesdepots.fr</vt:lpwstr>
  </property>
  <property fmtid="{D5CDD505-2E9C-101B-9397-08002B2CF9AE}" pid="6" name="MSIP_Label_526b0da4-3db3-477f-aae7-ffa237cfc891_SetDate">
    <vt:lpwstr>2018-07-04T15:26:46.3620679+02:00</vt:lpwstr>
  </property>
  <property fmtid="{D5CDD505-2E9C-101B-9397-08002B2CF9AE}" pid="7" name="MSIP_Label_526b0da4-3db3-477f-aae7-ffa237cfc891_Name">
    <vt:lpwstr>CDC-Interne</vt:lpwstr>
  </property>
  <property fmtid="{D5CDD505-2E9C-101B-9397-08002B2CF9AE}" pid="8" name="MSIP_Label_526b0da4-3db3-477f-aae7-ffa237cfc891_Application">
    <vt:lpwstr>Microsoft Azure Information Protection</vt:lpwstr>
  </property>
  <property fmtid="{D5CDD505-2E9C-101B-9397-08002B2CF9AE}" pid="9" name="MSIP_Label_526b0da4-3db3-477f-aae7-ffa237cfc891_Extended_MSFT_Method">
    <vt:lpwstr>Automatic</vt:lpwstr>
  </property>
  <property fmtid="{D5CDD505-2E9C-101B-9397-08002B2CF9AE}" pid="10" name="MSIP_Label_1387ec98-8aff-418c-9455-dc857e1ea7dc_Enabled">
    <vt:lpwstr>True</vt:lpwstr>
  </property>
  <property fmtid="{D5CDD505-2E9C-101B-9397-08002B2CF9AE}" pid="11" name="MSIP_Label_1387ec98-8aff-418c-9455-dc857e1ea7dc_SiteId">
    <vt:lpwstr>6eab6365-8194-49c6-a4d0-e2d1a0fbeb74</vt:lpwstr>
  </property>
  <property fmtid="{D5CDD505-2E9C-101B-9397-08002B2CF9AE}" pid="12" name="MSIP_Label_1387ec98-8aff-418c-9455-dc857e1ea7dc_Ref">
    <vt:lpwstr>https://api.informationprotection.azure.com/api/6eab6365-8194-49c6-a4d0-e2d1a0fbeb74</vt:lpwstr>
  </property>
  <property fmtid="{D5CDD505-2E9C-101B-9397-08002B2CF9AE}" pid="13" name="MSIP_Label_1387ec98-8aff-418c-9455-dc857e1ea7dc_Owner">
    <vt:lpwstr>Remi.Lasnier@caissedesdepots.fr</vt:lpwstr>
  </property>
  <property fmtid="{D5CDD505-2E9C-101B-9397-08002B2CF9AE}" pid="14" name="MSIP_Label_1387ec98-8aff-418c-9455-dc857e1ea7dc_SetDate">
    <vt:lpwstr>2018-07-04T15:26:46.3620679+02:00</vt:lpwstr>
  </property>
  <property fmtid="{D5CDD505-2E9C-101B-9397-08002B2CF9AE}" pid="15" name="MSIP_Label_1387ec98-8aff-418c-9455-dc857e1ea7dc_Name">
    <vt:lpwstr>Avec marquage</vt:lpwstr>
  </property>
  <property fmtid="{D5CDD505-2E9C-101B-9397-08002B2CF9AE}" pid="16" name="MSIP_Label_1387ec98-8aff-418c-9455-dc857e1ea7dc_Application">
    <vt:lpwstr>Microsoft Azure Information Protection</vt:lpwstr>
  </property>
  <property fmtid="{D5CDD505-2E9C-101B-9397-08002B2CF9AE}" pid="17" name="MSIP_Label_1387ec98-8aff-418c-9455-dc857e1ea7dc_Extended_MSFT_Method">
    <vt:lpwstr>Automatic</vt:lpwstr>
  </property>
  <property fmtid="{D5CDD505-2E9C-101B-9397-08002B2CF9AE}" pid="18" name="MSIP_Label_1387ec98-8aff-418c-9455-dc857e1ea7dc_Parent">
    <vt:lpwstr>526b0da4-3db3-477f-aae7-ffa237cfc891</vt:lpwstr>
  </property>
  <property fmtid="{D5CDD505-2E9C-101B-9397-08002B2CF9AE}" pid="19" name="Sensitivity">
    <vt:lpwstr>CDC-Interne Avec marquage</vt:lpwstr>
  </property>
</Properties>
</file>