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AFD38" w14:textId="69C70586" w:rsidR="00EF32BB" w:rsidRPr="00C4176C" w:rsidRDefault="001904E0" w:rsidP="00C4176C">
      <w:pPr>
        <w:spacing w:before="100" w:beforeAutospacing="1" w:after="100" w:afterAutospacing="1"/>
        <w:ind w:right="992"/>
        <w:rPr>
          <w:rFonts w:ascii="Arial" w:hAnsi="Arial" w:cs="Arial"/>
          <w:b/>
          <w:bCs/>
          <w:color w:val="000000"/>
          <w:sz w:val="32"/>
          <w:szCs w:val="28"/>
        </w:rPr>
      </w:pPr>
      <w:r w:rsidRPr="00065B2A">
        <w:rPr>
          <w:b/>
          <w:bCs/>
          <w:noProof/>
          <w:color w:val="0070C0"/>
          <w:sz w:val="28"/>
          <w:szCs w:val="28"/>
        </w:rPr>
        <w:drawing>
          <wp:anchor distT="0" distB="0" distL="114300" distR="114300" simplePos="0" relativeHeight="251658752" behindDoc="0" locked="0" layoutInCell="1" allowOverlap="1" wp14:anchorId="1DC472DF" wp14:editId="1477905C">
            <wp:simplePos x="0" y="0"/>
            <wp:positionH relativeFrom="column">
              <wp:posOffset>5062855</wp:posOffset>
            </wp:positionH>
            <wp:positionV relativeFrom="paragraph">
              <wp:posOffset>-13969</wp:posOffset>
            </wp:positionV>
            <wp:extent cx="1028700" cy="1181100"/>
            <wp:effectExtent l="0" t="0" r="0" b="0"/>
            <wp:wrapNone/>
            <wp:docPr id="11" name="Image 11" descr="FIPHFP logo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PHFP logo 20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B7055" w:rsidRPr="004B7055">
        <w:rPr>
          <w:rFonts w:ascii="Arial" w:hAnsi="Arial" w:cs="Arial"/>
          <w:b/>
          <w:bCs/>
          <w:noProof/>
          <w:color w:val="000000"/>
          <w:sz w:val="32"/>
          <w:szCs w:val="28"/>
        </w:rPr>
        <w:drawing>
          <wp:inline distT="0" distB="0" distL="0" distR="0" wp14:anchorId="49E9C781" wp14:editId="28976E8A">
            <wp:extent cx="971550" cy="1352351"/>
            <wp:effectExtent l="0" t="0" r="0" b="0"/>
            <wp:docPr id="1" name="Image 1" descr="M:\LOGO-GHH HD-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OGO-GHH HD-JP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0968" cy="1365460"/>
                    </a:xfrm>
                    <a:prstGeom prst="rect">
                      <a:avLst/>
                    </a:prstGeom>
                    <a:noFill/>
                    <a:ln>
                      <a:noFill/>
                    </a:ln>
                  </pic:spPr>
                </pic:pic>
              </a:graphicData>
            </a:graphic>
          </wp:inline>
        </w:drawing>
      </w:r>
      <w:r w:rsidR="00C4176C">
        <w:rPr>
          <w:rFonts w:ascii="Arial" w:hAnsi="Arial" w:cs="Arial"/>
          <w:b/>
          <w:bCs/>
          <w:color w:val="000000"/>
          <w:sz w:val="32"/>
          <w:szCs w:val="28"/>
        </w:rPr>
        <w:tab/>
      </w:r>
      <w:r w:rsidR="00C4176C">
        <w:rPr>
          <w:rFonts w:ascii="Arial" w:hAnsi="Arial" w:cs="Arial"/>
          <w:b/>
          <w:bCs/>
          <w:color w:val="000000"/>
          <w:sz w:val="32"/>
          <w:szCs w:val="28"/>
        </w:rPr>
        <w:tab/>
      </w:r>
      <w:r w:rsidR="00C4176C">
        <w:rPr>
          <w:rFonts w:ascii="Arial" w:hAnsi="Arial" w:cs="Arial"/>
          <w:b/>
          <w:bCs/>
          <w:color w:val="000000"/>
          <w:sz w:val="32"/>
          <w:szCs w:val="28"/>
        </w:rPr>
        <w:tab/>
      </w:r>
      <w:r w:rsidR="006820CE">
        <w:rPr>
          <w:rFonts w:asciiTheme="minorHAnsi" w:hAnsiTheme="minorHAnsi" w:cs="Arial"/>
          <w:b/>
          <w:bCs/>
          <w:color w:val="000000"/>
          <w:sz w:val="32"/>
          <w:szCs w:val="32"/>
        </w:rPr>
        <w:t>Communiqué</w:t>
      </w:r>
      <w:bookmarkStart w:id="0" w:name="_GoBack"/>
      <w:bookmarkEnd w:id="0"/>
      <w:r w:rsidRPr="005E3DE6">
        <w:rPr>
          <w:rFonts w:asciiTheme="minorHAnsi" w:hAnsiTheme="minorHAnsi" w:cs="Arial"/>
          <w:b/>
          <w:bCs/>
          <w:color w:val="000000"/>
          <w:sz w:val="32"/>
          <w:szCs w:val="32"/>
        </w:rPr>
        <w:t xml:space="preserve"> de presse</w:t>
      </w:r>
    </w:p>
    <w:p w14:paraId="1D61076A" w14:textId="66F760CC" w:rsidR="005E3DE6" w:rsidRDefault="00F502DC" w:rsidP="001904E0">
      <w:pPr>
        <w:jc w:val="center"/>
        <w:rPr>
          <w:rFonts w:asciiTheme="minorHAnsi" w:hAnsiTheme="minorHAnsi"/>
          <w:b/>
          <w:sz w:val="32"/>
          <w:szCs w:val="32"/>
        </w:rPr>
      </w:pPr>
      <w:r w:rsidRPr="005E3DE6">
        <w:rPr>
          <w:rFonts w:asciiTheme="minorHAnsi" w:hAnsiTheme="minorHAnsi"/>
          <w:b/>
          <w:sz w:val="32"/>
          <w:szCs w:val="32"/>
        </w:rPr>
        <w:t>Le Groupe Hospitalier du Havre et le FIPHFP</w:t>
      </w:r>
      <w:r w:rsidR="00643C45">
        <w:rPr>
          <w:rFonts w:asciiTheme="minorHAnsi" w:hAnsiTheme="minorHAnsi"/>
          <w:b/>
          <w:sz w:val="32"/>
          <w:szCs w:val="32"/>
        </w:rPr>
        <w:t>*</w:t>
      </w:r>
    </w:p>
    <w:p w14:paraId="2E663E95" w14:textId="77777777" w:rsidR="005E3DE6" w:rsidRDefault="001904E0" w:rsidP="001904E0">
      <w:pPr>
        <w:jc w:val="center"/>
        <w:rPr>
          <w:rFonts w:asciiTheme="minorHAnsi" w:hAnsiTheme="minorHAnsi"/>
          <w:b/>
          <w:sz w:val="32"/>
          <w:szCs w:val="32"/>
        </w:rPr>
      </w:pPr>
      <w:proofErr w:type="gramStart"/>
      <w:r w:rsidRPr="005E3DE6">
        <w:rPr>
          <w:rFonts w:asciiTheme="minorHAnsi" w:hAnsiTheme="minorHAnsi"/>
          <w:b/>
          <w:sz w:val="32"/>
          <w:szCs w:val="32"/>
        </w:rPr>
        <w:t>signe</w:t>
      </w:r>
      <w:r w:rsidR="00C81201">
        <w:rPr>
          <w:rFonts w:asciiTheme="minorHAnsi" w:hAnsiTheme="minorHAnsi"/>
          <w:b/>
          <w:sz w:val="32"/>
          <w:szCs w:val="32"/>
        </w:rPr>
        <w:t>nt</w:t>
      </w:r>
      <w:proofErr w:type="gramEnd"/>
      <w:r w:rsidRPr="005E3DE6">
        <w:rPr>
          <w:rFonts w:asciiTheme="minorHAnsi" w:hAnsiTheme="minorHAnsi"/>
          <w:b/>
          <w:sz w:val="32"/>
          <w:szCs w:val="32"/>
        </w:rPr>
        <w:t xml:space="preserve"> </w:t>
      </w:r>
      <w:r w:rsidR="00F502DC" w:rsidRPr="005E3DE6">
        <w:rPr>
          <w:rFonts w:asciiTheme="minorHAnsi" w:hAnsiTheme="minorHAnsi"/>
          <w:b/>
          <w:sz w:val="32"/>
          <w:szCs w:val="32"/>
        </w:rPr>
        <w:t xml:space="preserve">une convention pour soutenir l’emploi et l’inclusion </w:t>
      </w:r>
    </w:p>
    <w:p w14:paraId="237BA223" w14:textId="3B4959E3" w:rsidR="00F502DC" w:rsidRDefault="00F502DC" w:rsidP="001904E0">
      <w:pPr>
        <w:jc w:val="center"/>
        <w:rPr>
          <w:rFonts w:asciiTheme="minorHAnsi" w:hAnsiTheme="minorHAnsi"/>
          <w:b/>
          <w:sz w:val="32"/>
          <w:szCs w:val="32"/>
        </w:rPr>
      </w:pPr>
      <w:proofErr w:type="gramStart"/>
      <w:r w:rsidRPr="005E3DE6">
        <w:rPr>
          <w:rFonts w:asciiTheme="minorHAnsi" w:hAnsiTheme="minorHAnsi"/>
          <w:b/>
          <w:sz w:val="32"/>
          <w:szCs w:val="32"/>
        </w:rPr>
        <w:t>des</w:t>
      </w:r>
      <w:proofErr w:type="gramEnd"/>
      <w:r w:rsidRPr="005E3DE6">
        <w:rPr>
          <w:rFonts w:asciiTheme="minorHAnsi" w:hAnsiTheme="minorHAnsi"/>
          <w:b/>
          <w:sz w:val="32"/>
          <w:szCs w:val="32"/>
        </w:rPr>
        <w:t xml:space="preserve"> personnes en situation de handicap</w:t>
      </w:r>
    </w:p>
    <w:p w14:paraId="080A22E6" w14:textId="46E34FA8" w:rsidR="00643C45" w:rsidRPr="00643C45" w:rsidRDefault="00643C45" w:rsidP="001904E0">
      <w:pPr>
        <w:jc w:val="center"/>
        <w:rPr>
          <w:rFonts w:asciiTheme="minorHAnsi" w:hAnsiTheme="minorHAnsi"/>
          <w:bCs/>
          <w:szCs w:val="24"/>
        </w:rPr>
      </w:pPr>
      <w:r w:rsidRPr="00643C45">
        <w:rPr>
          <w:rFonts w:asciiTheme="minorHAnsi" w:hAnsiTheme="minorHAnsi"/>
          <w:bCs/>
          <w:szCs w:val="24"/>
        </w:rPr>
        <w:t xml:space="preserve">*Fonds pour l’insertion des personnes handicapées dans la Fonction publique </w:t>
      </w:r>
    </w:p>
    <w:p w14:paraId="5907E18B" w14:textId="77777777" w:rsidR="00BE2993" w:rsidRPr="005E3DE6" w:rsidRDefault="00BE2993" w:rsidP="001904E0">
      <w:pPr>
        <w:jc w:val="center"/>
        <w:rPr>
          <w:rFonts w:asciiTheme="minorHAnsi" w:hAnsiTheme="minorHAnsi"/>
          <w:b/>
          <w:sz w:val="32"/>
          <w:szCs w:val="32"/>
        </w:rPr>
      </w:pPr>
    </w:p>
    <w:p w14:paraId="1E64809E" w14:textId="00CB96E4" w:rsidR="00F502DC" w:rsidRPr="005E3DE6" w:rsidRDefault="00BE2993" w:rsidP="00AD219C">
      <w:pPr>
        <w:pStyle w:val="NormalWeb"/>
        <w:shd w:val="clear" w:color="auto" w:fill="FFFFFF"/>
        <w:spacing w:line="240" w:lineRule="atLeast"/>
        <w:jc w:val="both"/>
        <w:rPr>
          <w:rFonts w:asciiTheme="minorHAnsi" w:hAnsiTheme="minorHAnsi"/>
          <w:color w:val="000000"/>
        </w:rPr>
      </w:pPr>
      <w:r w:rsidRPr="005E3DE6">
        <w:rPr>
          <w:rFonts w:asciiTheme="minorHAnsi" w:hAnsiTheme="minorHAnsi" w:cs="Calibri"/>
          <w:color w:val="000000"/>
        </w:rPr>
        <w:t>Ce jeudi</w:t>
      </w:r>
      <w:r w:rsidR="00A371BC" w:rsidRPr="005E3DE6">
        <w:rPr>
          <w:rFonts w:asciiTheme="minorHAnsi" w:hAnsiTheme="minorHAnsi" w:cs="Calibri"/>
          <w:color w:val="000000"/>
        </w:rPr>
        <w:t xml:space="preserve"> 20 janvier 2022</w:t>
      </w:r>
      <w:r w:rsidRPr="005E3DE6">
        <w:rPr>
          <w:rFonts w:asciiTheme="minorHAnsi" w:hAnsiTheme="minorHAnsi" w:cs="Calibri"/>
          <w:color w:val="000000"/>
        </w:rPr>
        <w:t xml:space="preserve">, le </w:t>
      </w:r>
      <w:r w:rsidR="00A371BC" w:rsidRPr="005E3DE6">
        <w:rPr>
          <w:rFonts w:asciiTheme="minorHAnsi" w:hAnsiTheme="minorHAnsi" w:cs="Calibri"/>
          <w:color w:val="000000"/>
        </w:rPr>
        <w:t xml:space="preserve">Groupe Hospitalier du Havre signe </w:t>
      </w:r>
      <w:r w:rsidRPr="005E3DE6">
        <w:rPr>
          <w:rFonts w:asciiTheme="minorHAnsi" w:hAnsiTheme="minorHAnsi" w:cs="Calibri"/>
          <w:color w:val="000000"/>
        </w:rPr>
        <w:t xml:space="preserve">officiellement </w:t>
      </w:r>
      <w:r w:rsidR="00A371BC" w:rsidRPr="005E3DE6">
        <w:rPr>
          <w:rFonts w:asciiTheme="minorHAnsi" w:hAnsiTheme="minorHAnsi" w:cs="Calibri"/>
          <w:color w:val="000000"/>
        </w:rPr>
        <w:t xml:space="preserve">une </w:t>
      </w:r>
      <w:r w:rsidRPr="005E3DE6">
        <w:rPr>
          <w:rFonts w:asciiTheme="minorHAnsi" w:hAnsiTheme="minorHAnsi" w:cs="Calibri"/>
          <w:color w:val="000000"/>
        </w:rPr>
        <w:t>c</w:t>
      </w:r>
      <w:r w:rsidR="00A371BC" w:rsidRPr="005E3DE6">
        <w:rPr>
          <w:rFonts w:asciiTheme="minorHAnsi" w:hAnsiTheme="minorHAnsi" w:cs="Calibri"/>
          <w:color w:val="000000"/>
        </w:rPr>
        <w:t xml:space="preserve">onvention avec le Fonds pour l’Insertion des Personnes Handicapées dans la Fonction </w:t>
      </w:r>
      <w:r w:rsidR="00643C45" w:rsidRPr="00946FB4">
        <w:rPr>
          <w:rFonts w:asciiTheme="minorHAnsi" w:hAnsiTheme="minorHAnsi" w:cs="Calibri"/>
          <w:color w:val="000000" w:themeColor="text1"/>
        </w:rPr>
        <w:t>p</w:t>
      </w:r>
      <w:r w:rsidRPr="005E3DE6">
        <w:rPr>
          <w:rFonts w:asciiTheme="minorHAnsi" w:hAnsiTheme="minorHAnsi" w:cs="Calibri"/>
          <w:color w:val="000000"/>
        </w:rPr>
        <w:t xml:space="preserve">ublique (FIPHFP), en présence </w:t>
      </w:r>
      <w:r w:rsidR="00A371BC" w:rsidRPr="005E3DE6">
        <w:rPr>
          <w:rFonts w:asciiTheme="minorHAnsi" w:hAnsiTheme="minorHAnsi" w:cs="Calibri"/>
          <w:color w:val="000000"/>
        </w:rPr>
        <w:t xml:space="preserve">de </w:t>
      </w:r>
      <w:r w:rsidR="00A371BC" w:rsidRPr="005E3DE6">
        <w:rPr>
          <w:rFonts w:asciiTheme="minorHAnsi" w:hAnsiTheme="minorHAnsi"/>
        </w:rPr>
        <w:t>Marc DESJARDINS, Directeur</w:t>
      </w:r>
      <w:r w:rsidR="005E3DE6" w:rsidRPr="005E3DE6">
        <w:rPr>
          <w:rFonts w:asciiTheme="minorHAnsi" w:hAnsiTheme="minorHAnsi"/>
        </w:rPr>
        <w:t xml:space="preserve"> </w:t>
      </w:r>
      <w:r w:rsidR="00A371BC" w:rsidRPr="005E3DE6">
        <w:rPr>
          <w:rFonts w:asciiTheme="minorHAnsi" w:hAnsiTheme="minorHAnsi"/>
        </w:rPr>
        <w:t>du FIPHFP</w:t>
      </w:r>
      <w:r w:rsidR="00C81201">
        <w:rPr>
          <w:rFonts w:asciiTheme="minorHAnsi" w:hAnsiTheme="minorHAnsi"/>
        </w:rPr>
        <w:t>, Jacques DE PESQUIDOUX</w:t>
      </w:r>
      <w:r w:rsidR="005E3DE6" w:rsidRPr="005E3DE6">
        <w:rPr>
          <w:rFonts w:asciiTheme="minorHAnsi" w:hAnsiTheme="minorHAnsi"/>
        </w:rPr>
        <w:t xml:space="preserve">, </w:t>
      </w:r>
      <w:r w:rsidR="005E3DE6" w:rsidRPr="005E3DE6">
        <w:rPr>
          <w:rFonts w:asciiTheme="minorHAnsi" w:hAnsiTheme="minorHAnsi" w:cs="Arial"/>
          <w:color w:val="000000"/>
        </w:rPr>
        <w:t xml:space="preserve">Directeur Territorial Handicap </w:t>
      </w:r>
      <w:r w:rsidR="005E3DE6" w:rsidRPr="005E3DE6">
        <w:rPr>
          <w:rFonts w:asciiTheme="minorHAnsi" w:hAnsiTheme="minorHAnsi"/>
        </w:rPr>
        <w:t>du FIPHFP</w:t>
      </w:r>
      <w:r w:rsidR="00C81201">
        <w:rPr>
          <w:rFonts w:asciiTheme="minorHAnsi" w:hAnsiTheme="minorHAnsi"/>
        </w:rPr>
        <w:t xml:space="preserve">, </w:t>
      </w:r>
      <w:r w:rsidR="00A371BC" w:rsidRPr="005E3DE6">
        <w:rPr>
          <w:rFonts w:asciiTheme="minorHAnsi" w:hAnsiTheme="minorHAnsi"/>
        </w:rPr>
        <w:t xml:space="preserve">Martin TRELCAT, Directeur Général du </w:t>
      </w:r>
      <w:r w:rsidR="0005656A">
        <w:rPr>
          <w:rFonts w:asciiTheme="minorHAnsi" w:hAnsiTheme="minorHAnsi"/>
        </w:rPr>
        <w:t xml:space="preserve">GHH </w:t>
      </w:r>
      <w:r w:rsidR="00DD2CA1">
        <w:rPr>
          <w:rFonts w:asciiTheme="minorHAnsi" w:hAnsiTheme="minorHAnsi"/>
        </w:rPr>
        <w:t>et Lionel VERGÉ</w:t>
      </w:r>
      <w:r w:rsidR="0005656A">
        <w:rPr>
          <w:rFonts w:asciiTheme="minorHAnsi" w:hAnsiTheme="minorHAnsi"/>
        </w:rPr>
        <w:t>, Directeur des Ressources Humaines du GHH</w:t>
      </w:r>
      <w:r w:rsidR="00A371BC" w:rsidRPr="005E3DE6">
        <w:rPr>
          <w:rFonts w:asciiTheme="minorHAnsi" w:hAnsiTheme="minorHAnsi"/>
        </w:rPr>
        <w:t>.</w:t>
      </w:r>
    </w:p>
    <w:p w14:paraId="10A6EF30" w14:textId="77777777" w:rsidR="00230058" w:rsidRPr="005E3DE6" w:rsidRDefault="00230058" w:rsidP="00AD219C">
      <w:pPr>
        <w:spacing w:before="360"/>
        <w:jc w:val="both"/>
        <w:rPr>
          <w:rFonts w:asciiTheme="minorHAnsi" w:hAnsiTheme="minorHAnsi"/>
          <w:szCs w:val="24"/>
        </w:rPr>
      </w:pPr>
      <w:r w:rsidRPr="005E3DE6">
        <w:rPr>
          <w:rFonts w:asciiTheme="minorHAnsi" w:hAnsiTheme="minorHAnsi"/>
          <w:szCs w:val="24"/>
        </w:rPr>
        <w:t>En tant qu’employeur public, le Groupe Hospitalier du Havre (GHH) est engagé depuis 2011 dans une politique active en faveur du recrutement et du maintien dans l’emploi des travailleurs handicapés. Ces derniers représ</w:t>
      </w:r>
      <w:r w:rsidR="005E3DE6" w:rsidRPr="005E3DE6">
        <w:rPr>
          <w:rFonts w:asciiTheme="minorHAnsi" w:hAnsiTheme="minorHAnsi"/>
          <w:szCs w:val="24"/>
        </w:rPr>
        <w:t xml:space="preserve">entent aujourd’hui 6,39% de ses </w:t>
      </w:r>
      <w:r w:rsidRPr="005E3DE6">
        <w:rPr>
          <w:rFonts w:asciiTheme="minorHAnsi" w:hAnsiTheme="minorHAnsi"/>
          <w:szCs w:val="24"/>
        </w:rPr>
        <w:t xml:space="preserve">effectifs. </w:t>
      </w:r>
    </w:p>
    <w:p w14:paraId="6F32CA58" w14:textId="77777777" w:rsidR="00230058" w:rsidRDefault="00230058" w:rsidP="00AD219C">
      <w:pPr>
        <w:jc w:val="both"/>
        <w:rPr>
          <w:rFonts w:asciiTheme="minorHAnsi" w:hAnsiTheme="minorHAnsi"/>
        </w:rPr>
      </w:pPr>
    </w:p>
    <w:p w14:paraId="66B22CCB" w14:textId="7C6103FD" w:rsidR="00BB15B0" w:rsidRPr="00F10A85" w:rsidRDefault="00BB15B0" w:rsidP="00BB15B0">
      <w:pPr>
        <w:jc w:val="both"/>
        <w:rPr>
          <w:rFonts w:asciiTheme="minorHAnsi" w:hAnsiTheme="minorHAnsi" w:cstheme="minorHAnsi"/>
          <w:color w:val="000000" w:themeColor="text1"/>
        </w:rPr>
      </w:pPr>
      <w:r w:rsidRPr="00F10A85">
        <w:rPr>
          <w:rFonts w:asciiTheme="minorHAnsi" w:hAnsiTheme="minorHAnsi" w:cstheme="minorHAnsi"/>
          <w:i/>
          <w:iCs/>
          <w:color w:val="000000" w:themeColor="text1"/>
        </w:rPr>
        <w:t>« Nous avons rencontré de nombreux employeurs publics de la France entière à l’occasion des conventions signées en 2021. Chaque signature est une réussite pour le FIPHFP tant elle est synonyme de mise en place d’une politique durable en matière d’insertion et de maintien dans l’emploi des agents en situation de handicap. »</w:t>
      </w:r>
      <w:r w:rsidRPr="00F10A85">
        <w:rPr>
          <w:rFonts w:asciiTheme="minorHAnsi" w:hAnsiTheme="minorHAnsi" w:cstheme="minorHAnsi"/>
          <w:color w:val="000000" w:themeColor="text1"/>
        </w:rPr>
        <w:t xml:space="preserve"> Marc DESJARDINS</w:t>
      </w:r>
    </w:p>
    <w:p w14:paraId="3E296EDF" w14:textId="77777777" w:rsidR="00BB15B0" w:rsidRPr="00BB15B0" w:rsidRDefault="00BB15B0" w:rsidP="00BB15B0">
      <w:pPr>
        <w:jc w:val="both"/>
        <w:rPr>
          <w:rFonts w:asciiTheme="minorHAnsi" w:hAnsiTheme="minorHAnsi" w:cstheme="minorHAnsi"/>
          <w:sz w:val="22"/>
        </w:rPr>
      </w:pPr>
    </w:p>
    <w:p w14:paraId="0A897DDE" w14:textId="77777777" w:rsidR="003D0205" w:rsidRPr="00AD219C" w:rsidRDefault="003D0205" w:rsidP="00AD219C">
      <w:pPr>
        <w:jc w:val="both"/>
        <w:rPr>
          <w:rFonts w:asciiTheme="minorHAnsi" w:hAnsiTheme="minorHAnsi"/>
          <w:szCs w:val="24"/>
        </w:rPr>
      </w:pPr>
      <w:r w:rsidRPr="00AD219C">
        <w:rPr>
          <w:rFonts w:asciiTheme="minorHAnsi" w:hAnsiTheme="minorHAnsi"/>
          <w:szCs w:val="24"/>
        </w:rPr>
        <w:t>Le FIPHFP soutient le GHH dans</w:t>
      </w:r>
      <w:r w:rsidR="00BE2993" w:rsidRPr="00AD219C">
        <w:rPr>
          <w:rFonts w:asciiTheme="minorHAnsi" w:hAnsiTheme="minorHAnsi"/>
          <w:szCs w:val="24"/>
        </w:rPr>
        <w:t xml:space="preserve"> la mise en œuvre de sa politique handicap. </w:t>
      </w:r>
    </w:p>
    <w:p w14:paraId="57AE76B4" w14:textId="77777777" w:rsidR="00BE2993" w:rsidRPr="00AD219C" w:rsidRDefault="00BE2993" w:rsidP="00AD219C">
      <w:pPr>
        <w:jc w:val="both"/>
        <w:rPr>
          <w:rFonts w:asciiTheme="minorHAnsi" w:hAnsiTheme="minorHAnsi"/>
          <w:szCs w:val="24"/>
        </w:rPr>
      </w:pPr>
      <w:r w:rsidRPr="00AD219C">
        <w:rPr>
          <w:rFonts w:asciiTheme="minorHAnsi" w:hAnsiTheme="minorHAnsi"/>
          <w:szCs w:val="24"/>
        </w:rPr>
        <w:t>Cette dernière</w:t>
      </w:r>
      <w:r w:rsidR="003D0205" w:rsidRPr="00AD219C">
        <w:rPr>
          <w:rFonts w:asciiTheme="minorHAnsi" w:hAnsiTheme="minorHAnsi"/>
          <w:szCs w:val="24"/>
        </w:rPr>
        <w:t xml:space="preserve"> est structurée et pilotée au niveau</w:t>
      </w:r>
      <w:r w:rsidRPr="00AD219C">
        <w:rPr>
          <w:rFonts w:asciiTheme="minorHAnsi" w:hAnsiTheme="minorHAnsi"/>
          <w:szCs w:val="24"/>
        </w:rPr>
        <w:t xml:space="preserve"> de la Direction des Ressources Humaines</w:t>
      </w:r>
      <w:r w:rsidR="003D0205" w:rsidRPr="00AD219C">
        <w:rPr>
          <w:rFonts w:asciiTheme="minorHAnsi" w:hAnsiTheme="minorHAnsi"/>
          <w:szCs w:val="24"/>
        </w:rPr>
        <w:t xml:space="preserve"> du GHH et</w:t>
      </w:r>
      <w:r w:rsidRPr="00AD219C">
        <w:rPr>
          <w:rFonts w:asciiTheme="minorHAnsi" w:hAnsiTheme="minorHAnsi"/>
          <w:szCs w:val="24"/>
        </w:rPr>
        <w:t xml:space="preserve"> s’articule autour de</w:t>
      </w:r>
      <w:r w:rsidR="00AD219C" w:rsidRPr="00AD219C">
        <w:rPr>
          <w:rFonts w:asciiTheme="minorHAnsi" w:hAnsiTheme="minorHAnsi"/>
          <w:color w:val="FF0000"/>
          <w:szCs w:val="24"/>
        </w:rPr>
        <w:t xml:space="preserve"> </w:t>
      </w:r>
      <w:r w:rsidR="00AD219C" w:rsidRPr="00C4176C">
        <w:rPr>
          <w:rFonts w:asciiTheme="minorHAnsi" w:hAnsiTheme="minorHAnsi"/>
          <w:szCs w:val="24"/>
        </w:rPr>
        <w:t>différents axes</w:t>
      </w:r>
      <w:r w:rsidR="00AD219C" w:rsidRPr="00AD219C">
        <w:rPr>
          <w:rFonts w:asciiTheme="minorHAnsi" w:hAnsiTheme="minorHAnsi"/>
          <w:color w:val="FF0000"/>
          <w:szCs w:val="24"/>
        </w:rPr>
        <w:t xml:space="preserve"> </w:t>
      </w:r>
      <w:r w:rsidRPr="00AD219C">
        <w:rPr>
          <w:rFonts w:asciiTheme="minorHAnsi" w:hAnsiTheme="minorHAnsi"/>
          <w:szCs w:val="24"/>
        </w:rPr>
        <w:t>:</w:t>
      </w:r>
    </w:p>
    <w:p w14:paraId="5B0CB50D" w14:textId="77777777" w:rsidR="003D0205" w:rsidRPr="00AD219C" w:rsidRDefault="003D0205" w:rsidP="00AD219C">
      <w:pPr>
        <w:jc w:val="both"/>
        <w:rPr>
          <w:rFonts w:asciiTheme="minorHAnsi" w:hAnsiTheme="minorHAnsi"/>
          <w:szCs w:val="24"/>
        </w:rPr>
      </w:pPr>
    </w:p>
    <w:p w14:paraId="118A8F83" w14:textId="77777777" w:rsidR="00BE2993" w:rsidRPr="00AD219C" w:rsidRDefault="003D0205" w:rsidP="00AD219C">
      <w:pPr>
        <w:overflowPunct/>
        <w:autoSpaceDE/>
        <w:autoSpaceDN/>
        <w:adjustRightInd/>
        <w:jc w:val="both"/>
        <w:textAlignment w:val="auto"/>
        <w:rPr>
          <w:rFonts w:asciiTheme="minorHAnsi" w:hAnsiTheme="minorHAnsi"/>
          <w:szCs w:val="24"/>
        </w:rPr>
      </w:pPr>
      <w:r w:rsidRPr="00AD219C">
        <w:rPr>
          <w:rFonts w:asciiTheme="minorHAnsi" w:hAnsiTheme="minorHAnsi"/>
          <w:b/>
          <w:szCs w:val="24"/>
        </w:rPr>
        <w:t>Maintien dans l’emploi.</w:t>
      </w:r>
      <w:r w:rsidRPr="00AD219C">
        <w:rPr>
          <w:rFonts w:asciiTheme="minorHAnsi" w:hAnsiTheme="minorHAnsi"/>
          <w:szCs w:val="24"/>
        </w:rPr>
        <w:t xml:space="preserve"> </w:t>
      </w:r>
      <w:r w:rsidR="00BE2993" w:rsidRPr="00AD219C">
        <w:rPr>
          <w:rFonts w:asciiTheme="minorHAnsi" w:hAnsiTheme="minorHAnsi"/>
          <w:szCs w:val="24"/>
        </w:rPr>
        <w:t>En collaboration avec les directions concernées (soins, logistique,</w:t>
      </w:r>
      <w:r w:rsidR="00C4176C">
        <w:rPr>
          <w:rFonts w:asciiTheme="minorHAnsi" w:hAnsiTheme="minorHAnsi"/>
          <w:szCs w:val="24"/>
        </w:rPr>
        <w:t xml:space="preserve"> </w:t>
      </w:r>
      <w:proofErr w:type="gramStart"/>
      <w:r w:rsidRPr="00AD219C">
        <w:rPr>
          <w:rFonts w:asciiTheme="minorHAnsi" w:hAnsiTheme="minorHAnsi"/>
          <w:szCs w:val="24"/>
        </w:rPr>
        <w:t>restauration,…</w:t>
      </w:r>
      <w:proofErr w:type="gramEnd"/>
      <w:r w:rsidR="00BE2993" w:rsidRPr="00AD219C">
        <w:rPr>
          <w:rFonts w:asciiTheme="minorHAnsi" w:hAnsiTheme="minorHAnsi"/>
          <w:szCs w:val="24"/>
        </w:rPr>
        <w:t>) et en concertation avec le Service de S</w:t>
      </w:r>
      <w:r w:rsidRPr="00AD219C">
        <w:rPr>
          <w:rFonts w:asciiTheme="minorHAnsi" w:hAnsiTheme="minorHAnsi"/>
          <w:szCs w:val="24"/>
        </w:rPr>
        <w:t xml:space="preserve">anté au Travail </w:t>
      </w:r>
      <w:r w:rsidR="00BE2993" w:rsidRPr="00AD219C">
        <w:rPr>
          <w:rFonts w:asciiTheme="minorHAnsi" w:hAnsiTheme="minorHAnsi"/>
          <w:szCs w:val="24"/>
        </w:rPr>
        <w:t>et</w:t>
      </w:r>
      <w:r w:rsidRPr="00AD219C">
        <w:rPr>
          <w:rFonts w:asciiTheme="minorHAnsi" w:hAnsiTheme="minorHAnsi"/>
          <w:szCs w:val="24"/>
        </w:rPr>
        <w:t xml:space="preserve"> le Service Social du Personnel, </w:t>
      </w:r>
      <w:r w:rsidR="00BE2993" w:rsidRPr="00AD219C">
        <w:rPr>
          <w:rFonts w:asciiTheme="minorHAnsi" w:hAnsiTheme="minorHAnsi"/>
          <w:szCs w:val="24"/>
        </w:rPr>
        <w:t>des actions et des accompagnements</w:t>
      </w:r>
      <w:r w:rsidRPr="00AD219C">
        <w:rPr>
          <w:rFonts w:asciiTheme="minorHAnsi" w:hAnsiTheme="minorHAnsi"/>
          <w:szCs w:val="24"/>
        </w:rPr>
        <w:t xml:space="preserve"> sont proposés</w:t>
      </w:r>
      <w:r w:rsidR="00BE2993" w:rsidRPr="00AD219C">
        <w:rPr>
          <w:rFonts w:asciiTheme="minorHAnsi" w:hAnsiTheme="minorHAnsi"/>
          <w:szCs w:val="24"/>
        </w:rPr>
        <w:t xml:space="preserve"> pour sécuriser le maintien dans l’emploi des agents hospitaliers en situation de handicap : informations, accompagnement dans les démarches, aides techniques et humaines, aménagement des postes de travail ou formations. Les cadres de proximité accompagnent au quotidien les équipes en tenant compte de leur diversité et des spécificités de chaque agent.</w:t>
      </w:r>
    </w:p>
    <w:p w14:paraId="0BB05BA0" w14:textId="77777777" w:rsidR="0005656A" w:rsidRPr="00AD219C" w:rsidRDefault="0005656A" w:rsidP="00AD219C">
      <w:pPr>
        <w:overflowPunct/>
        <w:autoSpaceDE/>
        <w:autoSpaceDN/>
        <w:adjustRightInd/>
        <w:ind w:left="360"/>
        <w:jc w:val="both"/>
        <w:textAlignment w:val="auto"/>
        <w:rPr>
          <w:rFonts w:asciiTheme="minorHAnsi" w:hAnsiTheme="minorHAnsi"/>
          <w:szCs w:val="24"/>
        </w:rPr>
      </w:pPr>
    </w:p>
    <w:p w14:paraId="07B7C419" w14:textId="77777777" w:rsidR="00BE2993" w:rsidRPr="00AD219C" w:rsidRDefault="0005656A" w:rsidP="00AD219C">
      <w:pPr>
        <w:overflowPunct/>
        <w:autoSpaceDE/>
        <w:autoSpaceDN/>
        <w:adjustRightInd/>
        <w:jc w:val="both"/>
        <w:textAlignment w:val="auto"/>
        <w:rPr>
          <w:rFonts w:asciiTheme="minorHAnsi" w:hAnsiTheme="minorHAnsi"/>
          <w:szCs w:val="24"/>
        </w:rPr>
      </w:pPr>
      <w:r w:rsidRPr="00AD219C">
        <w:rPr>
          <w:rFonts w:asciiTheme="minorHAnsi" w:hAnsiTheme="minorHAnsi"/>
          <w:b/>
          <w:szCs w:val="24"/>
        </w:rPr>
        <w:t>Recrutement de salariés en situation de handicap.</w:t>
      </w:r>
      <w:r w:rsidRPr="00AD219C">
        <w:rPr>
          <w:rFonts w:asciiTheme="minorHAnsi" w:hAnsiTheme="minorHAnsi"/>
          <w:szCs w:val="24"/>
        </w:rPr>
        <w:t xml:space="preserve"> </w:t>
      </w:r>
      <w:r w:rsidR="00BE2993" w:rsidRPr="00AD219C">
        <w:rPr>
          <w:rFonts w:asciiTheme="minorHAnsi" w:hAnsiTheme="minorHAnsi"/>
          <w:szCs w:val="24"/>
        </w:rPr>
        <w:t xml:space="preserve">Le </w:t>
      </w:r>
      <w:r w:rsidR="003D0205" w:rsidRPr="00AD219C">
        <w:rPr>
          <w:rFonts w:asciiTheme="minorHAnsi" w:hAnsiTheme="minorHAnsi"/>
          <w:szCs w:val="24"/>
        </w:rPr>
        <w:t xml:space="preserve">GHH </w:t>
      </w:r>
      <w:r w:rsidR="00BE2993" w:rsidRPr="00AD219C">
        <w:rPr>
          <w:rFonts w:asciiTheme="minorHAnsi" w:hAnsiTheme="minorHAnsi"/>
          <w:szCs w:val="24"/>
        </w:rPr>
        <w:t xml:space="preserve">œuvre également en faveur de l’insertion professionnelle en recrutant chaque année de nouveaux collaborateurs en situation de handicap et en accueillant stagiaires et apprentis. </w:t>
      </w:r>
    </w:p>
    <w:p w14:paraId="2FEAA4B0" w14:textId="77777777" w:rsidR="0005656A" w:rsidRPr="00AD219C" w:rsidRDefault="0005656A" w:rsidP="00AD219C">
      <w:pPr>
        <w:overflowPunct/>
        <w:autoSpaceDE/>
        <w:autoSpaceDN/>
        <w:adjustRightInd/>
        <w:jc w:val="both"/>
        <w:textAlignment w:val="auto"/>
        <w:rPr>
          <w:rFonts w:asciiTheme="minorHAnsi" w:hAnsiTheme="minorHAnsi"/>
          <w:szCs w:val="24"/>
        </w:rPr>
      </w:pPr>
    </w:p>
    <w:p w14:paraId="57BCB0DA" w14:textId="77777777" w:rsidR="00BE2993" w:rsidRPr="00AD219C" w:rsidRDefault="0005656A" w:rsidP="00AD219C">
      <w:pPr>
        <w:jc w:val="both"/>
        <w:rPr>
          <w:rFonts w:asciiTheme="minorHAnsi" w:eastAsiaTheme="minorHAnsi" w:hAnsiTheme="minorHAnsi"/>
          <w:szCs w:val="24"/>
        </w:rPr>
      </w:pPr>
      <w:r w:rsidRPr="00AD219C">
        <w:rPr>
          <w:rFonts w:asciiTheme="minorHAnsi" w:hAnsiTheme="minorHAnsi"/>
          <w:b/>
          <w:szCs w:val="24"/>
        </w:rPr>
        <w:lastRenderedPageBreak/>
        <w:t>Communication, formation et sensibilisation de l’ensemble de l’institution sur le handicap</w:t>
      </w:r>
      <w:r w:rsidRPr="00AD219C">
        <w:rPr>
          <w:rFonts w:asciiTheme="minorHAnsi" w:hAnsiTheme="minorHAnsi"/>
          <w:szCs w:val="24"/>
        </w:rPr>
        <w:t xml:space="preserve">. </w:t>
      </w:r>
      <w:r w:rsidR="00BE2993" w:rsidRPr="00AD219C">
        <w:rPr>
          <w:rFonts w:asciiTheme="minorHAnsi" w:hAnsiTheme="minorHAnsi"/>
          <w:szCs w:val="24"/>
        </w:rPr>
        <w:t>Les cadres et les acteurs internes qui accompagnent au quotidien les agents en situation de handicap bénéficient de formations pour développer leurs compétences et aborder cette problématique avec les bons outils. La communication sans cesse se renouvelle pour sensibiliser au sujet du handicap au travail, informer sur les aides, identifier les idées reçues et faire changer le regard sur le handicap.</w:t>
      </w:r>
    </w:p>
    <w:p w14:paraId="7CD98EE2" w14:textId="77777777" w:rsidR="00BE2993" w:rsidRPr="00C4176C" w:rsidRDefault="00BE2993" w:rsidP="00C4176C">
      <w:pPr>
        <w:jc w:val="both"/>
        <w:rPr>
          <w:szCs w:val="24"/>
        </w:rPr>
      </w:pPr>
    </w:p>
    <w:p w14:paraId="414B5F53" w14:textId="77777777" w:rsidR="0005656A" w:rsidRPr="00AD219C" w:rsidRDefault="0005656A" w:rsidP="00AD219C">
      <w:pPr>
        <w:jc w:val="both"/>
        <w:rPr>
          <w:rFonts w:asciiTheme="minorHAnsi" w:hAnsiTheme="minorHAnsi"/>
          <w:szCs w:val="24"/>
        </w:rPr>
      </w:pPr>
      <w:r w:rsidRPr="00AD219C">
        <w:rPr>
          <w:rFonts w:asciiTheme="minorHAnsi" w:hAnsiTheme="minorHAnsi"/>
          <w:szCs w:val="24"/>
        </w:rPr>
        <w:t xml:space="preserve">Le GHH </w:t>
      </w:r>
      <w:r w:rsidR="00BE2993" w:rsidRPr="00AD219C">
        <w:rPr>
          <w:rFonts w:asciiTheme="minorHAnsi" w:hAnsiTheme="minorHAnsi"/>
          <w:szCs w:val="24"/>
        </w:rPr>
        <w:t xml:space="preserve">s’associe au FIPHFP en participant aux actions nationales telles que le </w:t>
      </w:r>
      <w:proofErr w:type="spellStart"/>
      <w:r w:rsidR="00BE2993" w:rsidRPr="00AD219C">
        <w:rPr>
          <w:rFonts w:asciiTheme="minorHAnsi" w:hAnsiTheme="minorHAnsi"/>
          <w:szCs w:val="24"/>
        </w:rPr>
        <w:t>Duoday</w:t>
      </w:r>
      <w:proofErr w:type="spellEnd"/>
      <w:r w:rsidR="00BE2993" w:rsidRPr="00AD219C">
        <w:rPr>
          <w:rFonts w:asciiTheme="minorHAnsi" w:hAnsiTheme="minorHAnsi"/>
          <w:szCs w:val="24"/>
        </w:rPr>
        <w:t xml:space="preserve">, la Semaine européenne pour l’emploi des personnes handicapées et s’implique dans le réseau </w:t>
      </w:r>
      <w:r w:rsidR="00C4176C">
        <w:rPr>
          <w:rFonts w:asciiTheme="minorHAnsi" w:hAnsiTheme="minorHAnsi"/>
          <w:szCs w:val="24"/>
        </w:rPr>
        <w:t xml:space="preserve">territorial du FIPHFP. </w:t>
      </w:r>
    </w:p>
    <w:p w14:paraId="0394CA4C" w14:textId="77777777" w:rsidR="00BE2993" w:rsidRPr="00AD219C" w:rsidRDefault="0005656A" w:rsidP="00AD219C">
      <w:pPr>
        <w:jc w:val="both"/>
        <w:rPr>
          <w:rFonts w:asciiTheme="minorHAnsi" w:hAnsiTheme="minorHAnsi"/>
          <w:szCs w:val="24"/>
        </w:rPr>
      </w:pPr>
      <w:r w:rsidRPr="00AD219C">
        <w:rPr>
          <w:rFonts w:asciiTheme="minorHAnsi" w:hAnsiTheme="minorHAnsi"/>
          <w:szCs w:val="24"/>
        </w:rPr>
        <w:t xml:space="preserve">Enfin, le GHH </w:t>
      </w:r>
      <w:r w:rsidR="00BE2993" w:rsidRPr="00AD219C">
        <w:rPr>
          <w:rFonts w:asciiTheme="minorHAnsi" w:hAnsiTheme="minorHAnsi"/>
          <w:szCs w:val="24"/>
        </w:rPr>
        <w:t>développe des partenariats sur son territoire notamment</w:t>
      </w:r>
      <w:r w:rsidR="00DD2CA1">
        <w:rPr>
          <w:rFonts w:asciiTheme="minorHAnsi" w:hAnsiTheme="minorHAnsi"/>
          <w:szCs w:val="24"/>
        </w:rPr>
        <w:t xml:space="preserve"> avec</w:t>
      </w:r>
      <w:r w:rsidR="00BE2993" w:rsidRPr="00AD219C">
        <w:rPr>
          <w:rFonts w:asciiTheme="minorHAnsi" w:hAnsiTheme="minorHAnsi"/>
          <w:szCs w:val="24"/>
        </w:rPr>
        <w:t> Cap Emploi ou les acteurs du secteur médico-social pour favoriser l’insertion professionnelle des personnes en situation de handicap.</w:t>
      </w:r>
    </w:p>
    <w:p w14:paraId="7E218299" w14:textId="77777777" w:rsidR="00BE2993" w:rsidRDefault="00BE2993" w:rsidP="00EF32BB">
      <w:pPr>
        <w:rPr>
          <w:rFonts w:asciiTheme="minorHAnsi" w:hAnsiTheme="minorHAnsi"/>
          <w:szCs w:val="24"/>
        </w:rPr>
      </w:pPr>
    </w:p>
    <w:p w14:paraId="669C223D" w14:textId="77777777" w:rsidR="00C4176C" w:rsidRPr="00BB15B0" w:rsidRDefault="00C4176C" w:rsidP="00BB15B0">
      <w:pPr>
        <w:pStyle w:val="Sansinterligne"/>
        <w:rPr>
          <w:b/>
          <w:bCs/>
          <w:sz w:val="24"/>
          <w:szCs w:val="24"/>
        </w:rPr>
      </w:pPr>
      <w:r w:rsidRPr="00BB15B0">
        <w:rPr>
          <w:b/>
          <w:bCs/>
          <w:sz w:val="24"/>
          <w:szCs w:val="24"/>
        </w:rPr>
        <w:t>A propos du GHH</w:t>
      </w:r>
    </w:p>
    <w:p w14:paraId="0EDA6557" w14:textId="72A13B88" w:rsidR="00BE2993" w:rsidRPr="00F10A85" w:rsidRDefault="00BE2993" w:rsidP="00BB15B0">
      <w:pPr>
        <w:pStyle w:val="Sansinterligne"/>
        <w:rPr>
          <w:color w:val="000000" w:themeColor="text1"/>
          <w:sz w:val="24"/>
          <w:szCs w:val="24"/>
        </w:rPr>
      </w:pPr>
      <w:r w:rsidRPr="00BB15B0">
        <w:rPr>
          <w:sz w:val="24"/>
          <w:szCs w:val="24"/>
        </w:rPr>
        <w:t xml:space="preserve">Afin d’améliorer l’accompagnement proposé à ces professionnels, le GHH a renforcé en 2021 son partenariat avec </w:t>
      </w:r>
      <w:r w:rsidR="00DD2CA1" w:rsidRPr="00BB15B0">
        <w:rPr>
          <w:sz w:val="24"/>
          <w:szCs w:val="24"/>
        </w:rPr>
        <w:t>le FIPHFP</w:t>
      </w:r>
      <w:r w:rsidRPr="00BB15B0">
        <w:rPr>
          <w:sz w:val="24"/>
          <w:szCs w:val="24"/>
        </w:rPr>
        <w:t xml:space="preserve">. Ce partenariat doit notamment permettre d’informer, de sensibiliser et de former les équipes sur les questions de handicap au travail. Par ailleurs, doté d’une enveloppe </w:t>
      </w:r>
      <w:r w:rsidRPr="00F10A85">
        <w:rPr>
          <w:color w:val="000000" w:themeColor="text1"/>
          <w:sz w:val="24"/>
          <w:szCs w:val="24"/>
        </w:rPr>
        <w:t>triennale de 600</w:t>
      </w:r>
      <w:r w:rsidR="00BB15B0" w:rsidRPr="00F10A85">
        <w:rPr>
          <w:color w:val="000000" w:themeColor="text1"/>
          <w:sz w:val="24"/>
          <w:szCs w:val="24"/>
        </w:rPr>
        <w:t xml:space="preserve"> </w:t>
      </w:r>
      <w:r w:rsidRPr="00F10A85">
        <w:rPr>
          <w:color w:val="000000" w:themeColor="text1"/>
          <w:sz w:val="24"/>
          <w:szCs w:val="24"/>
        </w:rPr>
        <w:t xml:space="preserve">000€, il garantit le financement de multiples matériels et d’études ergonomiques au profit des travailleurs handicapés. </w:t>
      </w:r>
    </w:p>
    <w:p w14:paraId="2E75CA3E" w14:textId="77777777" w:rsidR="00BB15B0" w:rsidRPr="00F10A85" w:rsidRDefault="00BB15B0" w:rsidP="00BB15B0">
      <w:pPr>
        <w:pStyle w:val="Sansinterligne"/>
        <w:rPr>
          <w:color w:val="000000" w:themeColor="text1"/>
          <w:sz w:val="24"/>
          <w:szCs w:val="24"/>
        </w:rPr>
      </w:pPr>
    </w:p>
    <w:p w14:paraId="6B6E72A6" w14:textId="77777777" w:rsidR="00BE2993" w:rsidRPr="00BB15B0" w:rsidRDefault="00BE2993" w:rsidP="00BB15B0">
      <w:pPr>
        <w:pStyle w:val="Sansinterligne"/>
        <w:rPr>
          <w:sz w:val="24"/>
          <w:szCs w:val="24"/>
        </w:rPr>
      </w:pPr>
      <w:r w:rsidRPr="00BB15B0">
        <w:rPr>
          <w:sz w:val="24"/>
          <w:szCs w:val="24"/>
        </w:rPr>
        <w:t xml:space="preserve">Dans le cadre de la précédente convention, le GHH a ainsi financé : </w:t>
      </w:r>
    </w:p>
    <w:p w14:paraId="0731456A" w14:textId="3D78856F" w:rsidR="00BE2993" w:rsidRPr="00BB15B0" w:rsidRDefault="00BE2993" w:rsidP="00BB15B0">
      <w:pPr>
        <w:pStyle w:val="Sansinterligne"/>
        <w:numPr>
          <w:ilvl w:val="0"/>
          <w:numId w:val="5"/>
        </w:numPr>
        <w:rPr>
          <w:sz w:val="24"/>
          <w:szCs w:val="24"/>
        </w:rPr>
      </w:pPr>
      <w:r w:rsidRPr="00BB15B0">
        <w:rPr>
          <w:sz w:val="24"/>
          <w:szCs w:val="24"/>
        </w:rPr>
        <w:t xml:space="preserve">Des fauteuils ergonomiques (8 en 2020, 6 en 2021), </w:t>
      </w:r>
    </w:p>
    <w:p w14:paraId="0840B7C5" w14:textId="77777777" w:rsidR="00BE2993" w:rsidRPr="00BB15B0" w:rsidRDefault="00BE2993" w:rsidP="00BB15B0">
      <w:pPr>
        <w:pStyle w:val="Sansinterligne"/>
        <w:numPr>
          <w:ilvl w:val="0"/>
          <w:numId w:val="5"/>
        </w:numPr>
        <w:rPr>
          <w:sz w:val="24"/>
          <w:szCs w:val="24"/>
        </w:rPr>
      </w:pPr>
      <w:r w:rsidRPr="00BB15B0">
        <w:rPr>
          <w:sz w:val="24"/>
          <w:szCs w:val="24"/>
        </w:rPr>
        <w:t xml:space="preserve">Des claviers ergonomiques avec souris intégrées (7 en 2020, 2 en 2021), </w:t>
      </w:r>
    </w:p>
    <w:p w14:paraId="35D6C640" w14:textId="77777777" w:rsidR="00BE2993" w:rsidRPr="00BB15B0" w:rsidRDefault="00BE2993" w:rsidP="00BB15B0">
      <w:pPr>
        <w:pStyle w:val="Sansinterligne"/>
        <w:numPr>
          <w:ilvl w:val="0"/>
          <w:numId w:val="5"/>
        </w:numPr>
        <w:rPr>
          <w:sz w:val="24"/>
          <w:szCs w:val="24"/>
        </w:rPr>
      </w:pPr>
      <w:r w:rsidRPr="00BB15B0">
        <w:rPr>
          <w:sz w:val="24"/>
          <w:szCs w:val="24"/>
        </w:rPr>
        <w:t>Des prothèses auditives (1 en 2020, 3 en 2021),</w:t>
      </w:r>
    </w:p>
    <w:p w14:paraId="0B805C3F" w14:textId="77777777" w:rsidR="00BE2993" w:rsidRPr="00BB15B0" w:rsidRDefault="00BE2993" w:rsidP="00BB15B0">
      <w:pPr>
        <w:pStyle w:val="Sansinterligne"/>
        <w:numPr>
          <w:ilvl w:val="0"/>
          <w:numId w:val="5"/>
        </w:numPr>
        <w:rPr>
          <w:sz w:val="24"/>
          <w:szCs w:val="24"/>
        </w:rPr>
      </w:pPr>
      <w:r w:rsidRPr="00BB15B0">
        <w:rPr>
          <w:sz w:val="24"/>
          <w:szCs w:val="24"/>
        </w:rPr>
        <w:t>Divers autres équipements : téléphones amplifiés, souris ergonomiques, luminaires, télé-agrandisseurs, casques sans fil, matériels visant à compenser un handicap visuel…,</w:t>
      </w:r>
    </w:p>
    <w:p w14:paraId="565F8BF1" w14:textId="77777777" w:rsidR="00BE2993" w:rsidRPr="00BB15B0" w:rsidRDefault="00BE2993" w:rsidP="00BB15B0">
      <w:pPr>
        <w:pStyle w:val="Sansinterligne"/>
        <w:numPr>
          <w:ilvl w:val="0"/>
          <w:numId w:val="5"/>
        </w:numPr>
        <w:rPr>
          <w:sz w:val="24"/>
          <w:szCs w:val="24"/>
        </w:rPr>
      </w:pPr>
      <w:r w:rsidRPr="00BB15B0">
        <w:rPr>
          <w:sz w:val="24"/>
          <w:szCs w:val="24"/>
        </w:rPr>
        <w:t>Diverses prestations : transports annuels en taxi domicile-travail, prestations d’appui spécifique…,</w:t>
      </w:r>
    </w:p>
    <w:p w14:paraId="2A887917" w14:textId="77777777" w:rsidR="00BE2993" w:rsidRPr="00BB15B0" w:rsidRDefault="00BE2993" w:rsidP="00BB15B0">
      <w:pPr>
        <w:pStyle w:val="Sansinterligne"/>
        <w:numPr>
          <w:ilvl w:val="0"/>
          <w:numId w:val="5"/>
        </w:numPr>
        <w:rPr>
          <w:sz w:val="24"/>
          <w:szCs w:val="24"/>
        </w:rPr>
      </w:pPr>
      <w:r w:rsidRPr="00BB15B0">
        <w:rPr>
          <w:sz w:val="24"/>
          <w:szCs w:val="24"/>
        </w:rPr>
        <w:t xml:space="preserve">Des études ergonomiques. </w:t>
      </w:r>
    </w:p>
    <w:p w14:paraId="509A2758" w14:textId="77777777" w:rsidR="00BE2993" w:rsidRPr="00BB15B0" w:rsidRDefault="00BE2993" w:rsidP="00BB15B0">
      <w:pPr>
        <w:pStyle w:val="Sansinterligne"/>
        <w:rPr>
          <w:rFonts w:eastAsiaTheme="minorHAnsi" w:cstheme="minorBidi"/>
          <w:sz w:val="24"/>
          <w:szCs w:val="24"/>
        </w:rPr>
      </w:pPr>
      <w:r w:rsidRPr="00BB15B0">
        <w:rPr>
          <w:rFonts w:eastAsiaTheme="minorHAnsi" w:cstheme="minorBidi"/>
          <w:sz w:val="24"/>
          <w:szCs w:val="24"/>
        </w:rPr>
        <w:t>En outre, les travailleurs handicapés peuvent accéder via des crédits spécifiques à des bilans de compétences ou des actions visant à acquérir de nouvelles compétences.</w:t>
      </w:r>
    </w:p>
    <w:p w14:paraId="44E43974" w14:textId="30E30011" w:rsidR="00BE2993" w:rsidRDefault="00BE2993" w:rsidP="00C4176C">
      <w:pPr>
        <w:jc w:val="both"/>
        <w:rPr>
          <w:rFonts w:asciiTheme="minorHAnsi" w:hAnsiTheme="minorHAnsi"/>
          <w:szCs w:val="24"/>
        </w:rPr>
      </w:pPr>
    </w:p>
    <w:p w14:paraId="3A80E281" w14:textId="12D6083E" w:rsidR="00BB15B0" w:rsidRPr="00C4176C" w:rsidRDefault="00BE2993" w:rsidP="00C4176C">
      <w:pPr>
        <w:pStyle w:val="Sansinterligne"/>
        <w:jc w:val="both"/>
        <w:rPr>
          <w:rFonts w:asciiTheme="minorHAnsi" w:hAnsiTheme="minorHAnsi" w:cs="Calibri"/>
          <w:b/>
          <w:bCs/>
          <w:color w:val="000000"/>
          <w:sz w:val="24"/>
          <w:szCs w:val="24"/>
        </w:rPr>
      </w:pPr>
      <w:r w:rsidRPr="00C4176C">
        <w:rPr>
          <w:rFonts w:asciiTheme="minorHAnsi" w:hAnsiTheme="minorHAnsi" w:cs="Calibri"/>
          <w:b/>
          <w:bCs/>
          <w:color w:val="000000"/>
          <w:sz w:val="24"/>
          <w:szCs w:val="24"/>
        </w:rPr>
        <w:t>A propos du FIPHFP</w:t>
      </w:r>
    </w:p>
    <w:p w14:paraId="7EFC6837" w14:textId="4E3E6158" w:rsidR="00BE2993" w:rsidRPr="00C4176C" w:rsidRDefault="00BE2993" w:rsidP="00C4176C">
      <w:pPr>
        <w:pStyle w:val="Sansinterligne"/>
        <w:jc w:val="both"/>
        <w:rPr>
          <w:rFonts w:asciiTheme="minorHAnsi" w:hAnsiTheme="minorHAnsi" w:cs="Calibri"/>
          <w:color w:val="000000"/>
          <w:sz w:val="24"/>
          <w:szCs w:val="24"/>
        </w:rPr>
      </w:pPr>
      <w:r w:rsidRPr="00C4176C">
        <w:rPr>
          <w:rFonts w:asciiTheme="minorHAnsi" w:hAnsiTheme="minorHAnsi" w:cs="Calibri"/>
          <w:color w:val="000000"/>
          <w:sz w:val="24"/>
          <w:szCs w:val="24"/>
        </w:rPr>
        <w:t xml:space="preserve">Créé par la loi du 11 février 2005 et mis en place fin 2006, le FIPHFP, Fonds pour l’insertion des personnes handicapées dans la </w:t>
      </w:r>
      <w:r w:rsidR="00BB15B0">
        <w:rPr>
          <w:rFonts w:asciiTheme="minorHAnsi" w:hAnsiTheme="minorHAnsi" w:cs="Calibri"/>
          <w:color w:val="000000"/>
          <w:sz w:val="24"/>
          <w:szCs w:val="24"/>
        </w:rPr>
        <w:t>F</w:t>
      </w:r>
      <w:r w:rsidRPr="00C4176C">
        <w:rPr>
          <w:rFonts w:asciiTheme="minorHAnsi" w:hAnsiTheme="minorHAnsi" w:cs="Calibri"/>
          <w:color w:val="000000"/>
          <w:sz w:val="24"/>
          <w:szCs w:val="24"/>
        </w:rPr>
        <w:t xml:space="preserve">onction publique, finance les actions de recrutement, de maintien dans l’emploi, de formation et d’accessibilité des personnes en situation de handicap dans les trois fonctions publiques (ministères, villes, conseils départementaux et régionaux, hôpitaux...). Il intervient sur l’ensemble du territoire et pour tous les employeurs publics en proposant des aides ponctuelles sur sa plateforme en ligne, ou par l’intermédiaire de conventions pluriannuelles avec les employeurs et dans le cadre du programme accessibilité. </w:t>
      </w:r>
    </w:p>
    <w:p w14:paraId="3436F493" w14:textId="381E3858" w:rsidR="00BE2993" w:rsidRPr="00C4176C" w:rsidRDefault="00BE2993" w:rsidP="00C4176C">
      <w:pPr>
        <w:pStyle w:val="Sansinterligne"/>
        <w:jc w:val="both"/>
        <w:rPr>
          <w:rFonts w:asciiTheme="minorHAnsi" w:hAnsiTheme="minorHAnsi" w:cs="Calibri"/>
          <w:color w:val="000000"/>
          <w:sz w:val="24"/>
          <w:szCs w:val="24"/>
        </w:rPr>
      </w:pPr>
      <w:r w:rsidRPr="00C4176C">
        <w:rPr>
          <w:rFonts w:asciiTheme="minorHAnsi" w:hAnsiTheme="minorHAnsi" w:cs="Calibri"/>
          <w:color w:val="000000"/>
          <w:sz w:val="24"/>
          <w:szCs w:val="24"/>
        </w:rPr>
        <w:t>Le FIPHFP est un établissement public nat</w:t>
      </w:r>
      <w:r w:rsidR="00DD2CA1">
        <w:rPr>
          <w:rFonts w:asciiTheme="minorHAnsi" w:hAnsiTheme="minorHAnsi" w:cs="Calibri"/>
          <w:color w:val="000000"/>
          <w:sz w:val="24"/>
          <w:szCs w:val="24"/>
        </w:rPr>
        <w:t>ional dirigé par Marc DESJARDINS : « </w:t>
      </w:r>
      <w:r w:rsidRPr="00C4176C">
        <w:rPr>
          <w:rFonts w:asciiTheme="minorHAnsi" w:hAnsiTheme="minorHAnsi" w:cs="Calibri"/>
          <w:color w:val="000000"/>
          <w:sz w:val="24"/>
          <w:szCs w:val="24"/>
        </w:rPr>
        <w:t xml:space="preserve">il est placé sous la tutelle des ministres chargés des personnes handicapées, de la </w:t>
      </w:r>
      <w:r w:rsidR="00BB15B0">
        <w:rPr>
          <w:rFonts w:asciiTheme="minorHAnsi" w:hAnsiTheme="minorHAnsi" w:cs="Calibri"/>
          <w:color w:val="000000"/>
          <w:sz w:val="24"/>
          <w:szCs w:val="24"/>
        </w:rPr>
        <w:t>F</w:t>
      </w:r>
      <w:r w:rsidRPr="00C4176C">
        <w:rPr>
          <w:rFonts w:asciiTheme="minorHAnsi" w:hAnsiTheme="minorHAnsi" w:cs="Calibri"/>
          <w:color w:val="000000"/>
          <w:sz w:val="24"/>
          <w:szCs w:val="24"/>
        </w:rPr>
        <w:t xml:space="preserve">onction publique de l’État, de la </w:t>
      </w:r>
      <w:r w:rsidR="00BB15B0">
        <w:rPr>
          <w:rFonts w:asciiTheme="minorHAnsi" w:hAnsiTheme="minorHAnsi" w:cs="Calibri"/>
          <w:color w:val="000000"/>
          <w:sz w:val="24"/>
          <w:szCs w:val="24"/>
        </w:rPr>
        <w:t>F</w:t>
      </w:r>
      <w:r w:rsidRPr="00C4176C">
        <w:rPr>
          <w:rFonts w:asciiTheme="minorHAnsi" w:hAnsiTheme="minorHAnsi" w:cs="Calibri"/>
          <w:color w:val="000000"/>
          <w:sz w:val="24"/>
          <w:szCs w:val="24"/>
        </w:rPr>
        <w:t xml:space="preserve">onction publique territoriale, de la </w:t>
      </w:r>
      <w:r w:rsidR="00BB15B0">
        <w:rPr>
          <w:rFonts w:asciiTheme="minorHAnsi" w:hAnsiTheme="minorHAnsi" w:cs="Calibri"/>
          <w:color w:val="000000"/>
          <w:sz w:val="24"/>
          <w:szCs w:val="24"/>
        </w:rPr>
        <w:t>F</w:t>
      </w:r>
      <w:r w:rsidRPr="00C4176C">
        <w:rPr>
          <w:rFonts w:asciiTheme="minorHAnsi" w:hAnsiTheme="minorHAnsi" w:cs="Calibri"/>
          <w:color w:val="000000"/>
          <w:sz w:val="24"/>
          <w:szCs w:val="24"/>
        </w:rPr>
        <w:t>onction pub</w:t>
      </w:r>
      <w:r w:rsidR="00DD2CA1">
        <w:rPr>
          <w:rFonts w:asciiTheme="minorHAnsi" w:hAnsiTheme="minorHAnsi" w:cs="Calibri"/>
          <w:color w:val="000000"/>
          <w:sz w:val="24"/>
          <w:szCs w:val="24"/>
        </w:rPr>
        <w:t xml:space="preserve">lique hospitalière et du </w:t>
      </w:r>
      <w:r w:rsidR="00DD2CA1">
        <w:rPr>
          <w:rFonts w:asciiTheme="minorHAnsi" w:hAnsiTheme="minorHAnsi" w:cs="Calibri"/>
          <w:color w:val="000000"/>
          <w:sz w:val="24"/>
          <w:szCs w:val="24"/>
        </w:rPr>
        <w:lastRenderedPageBreak/>
        <w:t>budget »</w:t>
      </w:r>
      <w:r w:rsidRPr="00C4176C">
        <w:rPr>
          <w:rFonts w:asciiTheme="minorHAnsi" w:hAnsiTheme="minorHAnsi" w:cs="Calibri"/>
          <w:color w:val="000000"/>
          <w:sz w:val="24"/>
          <w:szCs w:val="24"/>
        </w:rPr>
        <w:t xml:space="preserve"> (décret n° 2006-501 du 3 mai 2006). Sa gestion administrative est assurée par la Caisse des Dépôts.</w:t>
      </w:r>
    </w:p>
    <w:p w14:paraId="3B518923" w14:textId="77777777" w:rsidR="00F502DC" w:rsidRPr="001904E0" w:rsidRDefault="00F502DC" w:rsidP="00EF32BB">
      <w:pPr>
        <w:rPr>
          <w:rFonts w:asciiTheme="minorHAnsi" w:hAnsiTheme="minorHAnsi"/>
        </w:rPr>
      </w:pPr>
    </w:p>
    <w:p w14:paraId="4206E678" w14:textId="7D7E452D" w:rsidR="00F502DC" w:rsidRDefault="00F502DC" w:rsidP="00EF32BB">
      <w:pPr>
        <w:rPr>
          <w:rFonts w:asciiTheme="minorHAnsi" w:hAnsiTheme="minorHAnsi"/>
        </w:rPr>
      </w:pPr>
    </w:p>
    <w:p w14:paraId="1D07156B" w14:textId="77777777" w:rsidR="00BB15B0" w:rsidRDefault="00BB15B0" w:rsidP="00BB15B0">
      <w:pPr>
        <w:pStyle w:val="Default"/>
        <w:rPr>
          <w:rFonts w:asciiTheme="minorHAnsi" w:hAnsiTheme="minorHAnsi" w:cstheme="minorHAnsi"/>
          <w:sz w:val="22"/>
          <w:szCs w:val="22"/>
          <w:u w:val="single"/>
        </w:rPr>
      </w:pPr>
      <w:r>
        <w:rPr>
          <w:rFonts w:asciiTheme="minorHAnsi" w:hAnsiTheme="minorHAnsi" w:cstheme="minorHAnsi"/>
          <w:b/>
          <w:bCs/>
          <w:sz w:val="22"/>
          <w:szCs w:val="22"/>
          <w:u w:val="single"/>
        </w:rPr>
        <w:t>Contacts presse :</w:t>
      </w:r>
    </w:p>
    <w:p w14:paraId="6AEFD511" w14:textId="77777777" w:rsidR="00BB15B0" w:rsidRDefault="00BB15B0" w:rsidP="00BB15B0">
      <w:pPr>
        <w:pStyle w:val="Default"/>
        <w:rPr>
          <w:rFonts w:asciiTheme="minorHAnsi" w:hAnsiTheme="minorHAnsi" w:cstheme="minorHAnsi"/>
          <w:color w:val="auto"/>
          <w:sz w:val="22"/>
          <w:szCs w:val="22"/>
        </w:rPr>
      </w:pPr>
      <w:r>
        <w:rPr>
          <w:noProof/>
        </w:rPr>
        <w:drawing>
          <wp:anchor distT="0" distB="0" distL="114300" distR="114300" simplePos="0" relativeHeight="251660800" behindDoc="0" locked="0" layoutInCell="1" allowOverlap="1" wp14:anchorId="42F20B77" wp14:editId="5AAEB8A2">
            <wp:simplePos x="0" y="0"/>
            <wp:positionH relativeFrom="margin">
              <wp:posOffset>-28575</wp:posOffset>
            </wp:positionH>
            <wp:positionV relativeFrom="paragraph">
              <wp:posOffset>179070</wp:posOffset>
            </wp:positionV>
            <wp:extent cx="323850" cy="215265"/>
            <wp:effectExtent l="0" t="0" r="0" b="0"/>
            <wp:wrapNone/>
            <wp:docPr id="2" name="Image 2" descr="15 feminist authors to follow on Twitter ahead of tonight ...">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15 feminist authors to follow on Twitter ahead of tonight ...">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850" cy="215265"/>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bCs/>
          <w:sz w:val="22"/>
          <w:szCs w:val="22"/>
        </w:rPr>
        <w:t xml:space="preserve">FIPHP </w:t>
      </w:r>
      <w:r>
        <w:rPr>
          <w:rFonts w:asciiTheme="minorHAnsi" w:hAnsiTheme="minorHAnsi" w:cstheme="minorHAnsi"/>
          <w:sz w:val="22"/>
          <w:szCs w:val="22"/>
        </w:rPr>
        <w:t xml:space="preserve">: Léa Valleix - 06 30 69 50 16 - </w:t>
      </w:r>
      <w:hyperlink r:id="rId11" w:history="1">
        <w:r>
          <w:rPr>
            <w:rStyle w:val="Lienhypertexte"/>
            <w:rFonts w:asciiTheme="minorHAnsi" w:hAnsiTheme="minorHAnsi" w:cstheme="minorHAnsi"/>
            <w:color w:val="auto"/>
            <w:sz w:val="22"/>
            <w:szCs w:val="22"/>
          </w:rPr>
          <w:t>lea.valleix@tbwa-corporate.com</w:t>
        </w:r>
      </w:hyperlink>
      <w:r>
        <w:rPr>
          <w:rFonts w:asciiTheme="minorHAnsi" w:hAnsiTheme="minorHAnsi" w:cstheme="minorHAnsi"/>
          <w:color w:val="auto"/>
          <w:sz w:val="22"/>
          <w:szCs w:val="22"/>
        </w:rPr>
        <w:t xml:space="preserve"> </w:t>
      </w:r>
    </w:p>
    <w:p w14:paraId="0DCDE524" w14:textId="77777777" w:rsidR="00BB15B0" w:rsidRDefault="00BB15B0" w:rsidP="00BB15B0">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         @FIPHFP - www.fiphfp.fr </w:t>
      </w:r>
    </w:p>
    <w:p w14:paraId="2EDC4236" w14:textId="77777777" w:rsidR="00BB15B0" w:rsidRDefault="00BB15B0" w:rsidP="00BB15B0">
      <w:pPr>
        <w:jc w:val="both"/>
        <w:rPr>
          <w:rFonts w:asciiTheme="minorHAnsi" w:hAnsiTheme="minorHAnsi" w:cstheme="minorHAnsi"/>
          <w:b/>
          <w:bCs/>
          <w:sz w:val="22"/>
          <w:szCs w:val="22"/>
        </w:rPr>
      </w:pPr>
    </w:p>
    <w:p w14:paraId="33159A15" w14:textId="77777777" w:rsidR="00BB15B0" w:rsidRDefault="00BB15B0" w:rsidP="00BB15B0">
      <w:pPr>
        <w:jc w:val="both"/>
        <w:rPr>
          <w:rFonts w:asciiTheme="minorHAnsi" w:hAnsiTheme="minorHAnsi"/>
          <w:szCs w:val="24"/>
        </w:rPr>
      </w:pPr>
    </w:p>
    <w:p w14:paraId="5EC4E780" w14:textId="77777777" w:rsidR="00BB15B0" w:rsidRPr="00C4176C" w:rsidRDefault="00BB15B0" w:rsidP="00BB15B0">
      <w:pPr>
        <w:jc w:val="both"/>
        <w:rPr>
          <w:rFonts w:asciiTheme="minorHAnsi" w:hAnsiTheme="minorHAnsi"/>
          <w:szCs w:val="24"/>
        </w:rPr>
      </w:pPr>
    </w:p>
    <w:p w14:paraId="7030D923" w14:textId="77777777" w:rsidR="00BB15B0" w:rsidRPr="001904E0" w:rsidRDefault="00BB15B0" w:rsidP="00EF32BB">
      <w:pPr>
        <w:rPr>
          <w:rFonts w:asciiTheme="minorHAnsi" w:hAnsiTheme="minorHAnsi"/>
        </w:rPr>
      </w:pPr>
    </w:p>
    <w:sectPr w:rsidR="00BB15B0" w:rsidRPr="001904E0">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D9307" w14:textId="77777777" w:rsidR="00687EB5" w:rsidRDefault="00687EB5" w:rsidP="00A96DCD">
      <w:r>
        <w:separator/>
      </w:r>
    </w:p>
  </w:endnote>
  <w:endnote w:type="continuationSeparator" w:id="0">
    <w:p w14:paraId="19CDCD37" w14:textId="77777777" w:rsidR="00687EB5" w:rsidRDefault="00687EB5" w:rsidP="00A96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w:panose1 w:val="02000500000000000000"/>
    <w:charset w:val="00"/>
    <w:family w:val="auto"/>
    <w:pitch w:val="variable"/>
    <w:sig w:usb0="E00002FF" w:usb1="5000205A" w:usb2="00000000" w:usb3="00000000" w:csb0="0000019F"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96BDC" w14:textId="77777777" w:rsidR="00BB15B0" w:rsidRDefault="00BB15B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8723257"/>
      <w:docPartObj>
        <w:docPartGallery w:val="Page Numbers (Bottom of Page)"/>
        <w:docPartUnique/>
      </w:docPartObj>
    </w:sdtPr>
    <w:sdtEndPr/>
    <w:sdtContent>
      <w:p w14:paraId="27259EE2" w14:textId="45B950A2" w:rsidR="00A96DCD" w:rsidRDefault="00687EB5">
        <w:pPr>
          <w:pStyle w:val="Pieddepage"/>
          <w:jc w:val="center"/>
        </w:pPr>
        <w:r>
          <w:rPr>
            <w:noProof/>
          </w:rPr>
          <w:pict w14:anchorId="715730EA">
            <v:shapetype id="_x0000_t202" coordsize="21600,21600" o:spt="202" path="m,l,21600r21600,l21600,xe">
              <v:stroke joinstyle="miter"/>
              <v:path gradientshapeok="t" o:connecttype="rect"/>
            </v:shapetype>
            <v:shape id="MSIPCM3cb04b20b9f5e57a80b4336f" o:spid="_x0000_s2049" type="#_x0000_t202" alt="{&quot;HashCode&quot;:967973103,&quot;Height&quot;:841.0,&quot;Width&quot;:595.0,&quot;Placement&quot;:&quot;Footer&quot;,&quot;Index&quot;:&quot;Primary&quot;,&quot;Section&quot;:1,&quot;Top&quot;:0.0,&quot;Left&quot;:0.0}" style="position:absolute;left:0;text-align:left;margin-left:0;margin-top:805.35pt;width:595.3pt;height:21.55pt;z-index:251658240;mso-wrap-style:square;mso-wrap-edited:f;mso-width-percent:0;mso-height-percent:0;mso-position-horizontal:absolute;mso-position-horizontal-relative:page;mso-position-vertical:absolute;mso-position-vertical-relative:page;mso-width-percent:0;mso-height-percent:0;v-text-anchor:bottom" o:allowincell="f" filled="f" stroked="f">
              <v:textbox inset="20pt,0,,0">
                <w:txbxContent>
                  <w:p w14:paraId="22B6478A" w14:textId="45E33633" w:rsidR="00BB15B0" w:rsidRPr="00BB15B0" w:rsidRDefault="00BB15B0" w:rsidP="00BB15B0">
                    <w:pPr>
                      <w:rPr>
                        <w:rFonts w:ascii="Calibri" w:hAnsi="Calibri" w:cs="Calibri"/>
                        <w:color w:val="A80000"/>
                        <w:sz w:val="20"/>
                      </w:rPr>
                    </w:pPr>
                    <w:r w:rsidRPr="00BB15B0">
                      <w:rPr>
                        <w:rFonts w:ascii="Calibri" w:hAnsi="Calibri" w:cs="Calibri"/>
                        <w:color w:val="A80000"/>
                        <w:sz w:val="20"/>
                      </w:rPr>
                      <w:t>Interne</w:t>
                    </w:r>
                  </w:p>
                </w:txbxContent>
              </v:textbox>
              <w10:wrap anchorx="page" anchory="page"/>
            </v:shape>
          </w:pict>
        </w:r>
        <w:r w:rsidR="00A96DCD">
          <w:fldChar w:fldCharType="begin"/>
        </w:r>
        <w:r w:rsidR="00A96DCD">
          <w:instrText>PAGE   \* MERGEFORMAT</w:instrText>
        </w:r>
        <w:r w:rsidR="00A96DCD">
          <w:fldChar w:fldCharType="separate"/>
        </w:r>
        <w:r w:rsidR="00DD2CA1">
          <w:rPr>
            <w:noProof/>
          </w:rPr>
          <w:t>2</w:t>
        </w:r>
        <w:r w:rsidR="00A96DCD">
          <w:fldChar w:fldCharType="end"/>
        </w:r>
      </w:p>
    </w:sdtContent>
  </w:sdt>
  <w:p w14:paraId="694D037D" w14:textId="77777777" w:rsidR="00A96DCD" w:rsidRDefault="00A96DC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F57D4" w14:textId="77777777" w:rsidR="00BB15B0" w:rsidRDefault="00BB15B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C03D7" w14:textId="77777777" w:rsidR="00687EB5" w:rsidRDefault="00687EB5" w:rsidP="00A96DCD">
      <w:r>
        <w:separator/>
      </w:r>
    </w:p>
  </w:footnote>
  <w:footnote w:type="continuationSeparator" w:id="0">
    <w:p w14:paraId="50DE9F6F" w14:textId="77777777" w:rsidR="00687EB5" w:rsidRDefault="00687EB5" w:rsidP="00A96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B0B89" w14:textId="77777777" w:rsidR="00BB15B0" w:rsidRDefault="00BB15B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F677C" w14:textId="77777777" w:rsidR="00BB15B0" w:rsidRDefault="00BB15B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D91BD" w14:textId="77777777" w:rsidR="00BB15B0" w:rsidRDefault="00BB15B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C700A"/>
    <w:multiLevelType w:val="hybridMultilevel"/>
    <w:tmpl w:val="9D647CF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720385F"/>
    <w:multiLevelType w:val="multilevel"/>
    <w:tmpl w:val="B7E6A7B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15:restartNumberingAfterBreak="0">
    <w:nsid w:val="43345E42"/>
    <w:multiLevelType w:val="hybridMultilevel"/>
    <w:tmpl w:val="BA34E586"/>
    <w:lvl w:ilvl="0" w:tplc="53FC588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Marlett" w:hAnsi="Marlett"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Marlett" w:hAnsi="Marlett"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Marlett" w:hAnsi="Marlett" w:hint="default"/>
      </w:rPr>
    </w:lvl>
  </w:abstractNum>
  <w:abstractNum w:abstractNumId="3" w15:restartNumberingAfterBreak="0">
    <w:nsid w:val="53A34DA5"/>
    <w:multiLevelType w:val="hybridMultilevel"/>
    <w:tmpl w:val="337A5F72"/>
    <w:lvl w:ilvl="0" w:tplc="4D7E4CD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B9F0041"/>
    <w:multiLevelType w:val="hybridMultilevel"/>
    <w:tmpl w:val="49E2F32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B0719"/>
    <w:rsid w:val="0005656A"/>
    <w:rsid w:val="001904E0"/>
    <w:rsid w:val="00230058"/>
    <w:rsid w:val="002B0719"/>
    <w:rsid w:val="003D0205"/>
    <w:rsid w:val="004B7055"/>
    <w:rsid w:val="0054003F"/>
    <w:rsid w:val="005E3DE6"/>
    <w:rsid w:val="00643C45"/>
    <w:rsid w:val="006820CE"/>
    <w:rsid w:val="00687EB5"/>
    <w:rsid w:val="007A2778"/>
    <w:rsid w:val="008C3A3B"/>
    <w:rsid w:val="00946FB4"/>
    <w:rsid w:val="00974EC4"/>
    <w:rsid w:val="00A371BC"/>
    <w:rsid w:val="00A96DCD"/>
    <w:rsid w:val="00AD219C"/>
    <w:rsid w:val="00BB15B0"/>
    <w:rsid w:val="00BE2993"/>
    <w:rsid w:val="00C4176C"/>
    <w:rsid w:val="00C81201"/>
    <w:rsid w:val="00DD2CA1"/>
    <w:rsid w:val="00DF7437"/>
    <w:rsid w:val="00EF32BB"/>
    <w:rsid w:val="00F10A85"/>
    <w:rsid w:val="00F502D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A2CBE45"/>
  <w15:chartTrackingRefBased/>
  <w15:docId w15:val="{F75A6AB5-5502-426F-B725-D50357B06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02DC"/>
    <w:pPr>
      <w:overflowPunct w:val="0"/>
      <w:autoSpaceDE w:val="0"/>
      <w:autoSpaceDN w:val="0"/>
      <w:adjustRightInd w:val="0"/>
      <w:spacing w:after="0" w:line="240" w:lineRule="auto"/>
      <w:textAlignment w:val="baseline"/>
    </w:pPr>
    <w:rPr>
      <w:rFonts w:ascii="Times" w:eastAsia="Times New Roman" w:hAnsi="Times" w:cs="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502DC"/>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 w:type="paragraph" w:styleId="Sansinterligne">
    <w:name w:val="No Spacing"/>
    <w:uiPriority w:val="1"/>
    <w:qFormat/>
    <w:rsid w:val="00BE2993"/>
    <w:pPr>
      <w:spacing w:after="0" w:line="240" w:lineRule="auto"/>
    </w:pPr>
    <w:rPr>
      <w:rFonts w:ascii="Calibri" w:eastAsia="Calibri" w:hAnsi="Calibri" w:cs="Times New Roman"/>
    </w:rPr>
  </w:style>
  <w:style w:type="paragraph" w:styleId="NormalWeb">
    <w:name w:val="Normal (Web)"/>
    <w:basedOn w:val="Normal"/>
    <w:uiPriority w:val="99"/>
    <w:unhideWhenUsed/>
    <w:rsid w:val="00BE2993"/>
    <w:pPr>
      <w:overflowPunct/>
      <w:autoSpaceDE/>
      <w:autoSpaceDN/>
      <w:adjustRightInd/>
      <w:textAlignment w:val="auto"/>
    </w:pPr>
    <w:rPr>
      <w:rFonts w:ascii="Times New Roman" w:hAnsi="Times New Roman"/>
      <w:szCs w:val="24"/>
    </w:rPr>
  </w:style>
  <w:style w:type="paragraph" w:styleId="En-tte">
    <w:name w:val="header"/>
    <w:basedOn w:val="Normal"/>
    <w:link w:val="En-tteCar"/>
    <w:uiPriority w:val="99"/>
    <w:unhideWhenUsed/>
    <w:rsid w:val="00A96DCD"/>
    <w:pPr>
      <w:tabs>
        <w:tab w:val="center" w:pos="4536"/>
        <w:tab w:val="right" w:pos="9072"/>
      </w:tabs>
    </w:pPr>
  </w:style>
  <w:style w:type="character" w:customStyle="1" w:styleId="En-tteCar">
    <w:name w:val="En-tête Car"/>
    <w:basedOn w:val="Policepardfaut"/>
    <w:link w:val="En-tte"/>
    <w:uiPriority w:val="99"/>
    <w:rsid w:val="00A96DCD"/>
    <w:rPr>
      <w:rFonts w:ascii="Times" w:eastAsia="Times New Roman" w:hAnsi="Times" w:cs="Times New Roman"/>
      <w:sz w:val="24"/>
      <w:szCs w:val="20"/>
      <w:lang w:eastAsia="fr-FR"/>
    </w:rPr>
  </w:style>
  <w:style w:type="paragraph" w:styleId="Pieddepage">
    <w:name w:val="footer"/>
    <w:basedOn w:val="Normal"/>
    <w:link w:val="PieddepageCar"/>
    <w:uiPriority w:val="99"/>
    <w:unhideWhenUsed/>
    <w:rsid w:val="00A96DCD"/>
    <w:pPr>
      <w:tabs>
        <w:tab w:val="center" w:pos="4536"/>
        <w:tab w:val="right" w:pos="9072"/>
      </w:tabs>
    </w:pPr>
  </w:style>
  <w:style w:type="character" w:customStyle="1" w:styleId="PieddepageCar">
    <w:name w:val="Pied de page Car"/>
    <w:basedOn w:val="Policepardfaut"/>
    <w:link w:val="Pieddepage"/>
    <w:uiPriority w:val="99"/>
    <w:rsid w:val="00A96DCD"/>
    <w:rPr>
      <w:rFonts w:ascii="Times" w:eastAsia="Times New Roman" w:hAnsi="Times" w:cs="Times New Roman"/>
      <w:sz w:val="24"/>
      <w:szCs w:val="20"/>
      <w:lang w:eastAsia="fr-FR"/>
    </w:rPr>
  </w:style>
  <w:style w:type="paragraph" w:styleId="Textedebulles">
    <w:name w:val="Balloon Text"/>
    <w:basedOn w:val="Normal"/>
    <w:link w:val="TextedebullesCar"/>
    <w:uiPriority w:val="99"/>
    <w:semiHidden/>
    <w:unhideWhenUsed/>
    <w:rsid w:val="00C81201"/>
    <w:rPr>
      <w:rFonts w:ascii="Segoe UI" w:hAnsi="Segoe UI" w:cs="Segoe UI"/>
      <w:sz w:val="18"/>
      <w:szCs w:val="18"/>
    </w:rPr>
  </w:style>
  <w:style w:type="character" w:customStyle="1" w:styleId="TextedebullesCar">
    <w:name w:val="Texte de bulles Car"/>
    <w:basedOn w:val="Policepardfaut"/>
    <w:link w:val="Textedebulles"/>
    <w:uiPriority w:val="99"/>
    <w:semiHidden/>
    <w:rsid w:val="00C81201"/>
    <w:rPr>
      <w:rFonts w:ascii="Segoe UI" w:eastAsia="Times New Roman" w:hAnsi="Segoe UI" w:cs="Segoe UI"/>
      <w:sz w:val="18"/>
      <w:szCs w:val="18"/>
      <w:lang w:eastAsia="fr-FR"/>
    </w:rPr>
  </w:style>
  <w:style w:type="character" w:styleId="Lienhypertexte">
    <w:name w:val="Hyperlink"/>
    <w:basedOn w:val="Policepardfaut"/>
    <w:uiPriority w:val="99"/>
    <w:semiHidden/>
    <w:unhideWhenUsed/>
    <w:rsid w:val="00BB15B0"/>
    <w:rPr>
      <w:color w:val="0000FF" w:themeColor="hyperlink"/>
      <w:u w:val="single"/>
    </w:rPr>
  </w:style>
  <w:style w:type="paragraph" w:customStyle="1" w:styleId="Default">
    <w:name w:val="Default"/>
    <w:rsid w:val="00BB15B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188597">
      <w:bodyDiv w:val="1"/>
      <w:marLeft w:val="0"/>
      <w:marRight w:val="0"/>
      <w:marTop w:val="0"/>
      <w:marBottom w:val="0"/>
      <w:divBdr>
        <w:top w:val="none" w:sz="0" w:space="0" w:color="auto"/>
        <w:left w:val="none" w:sz="0" w:space="0" w:color="auto"/>
        <w:bottom w:val="none" w:sz="0" w:space="0" w:color="auto"/>
        <w:right w:val="none" w:sz="0" w:space="0" w:color="auto"/>
      </w:divBdr>
    </w:div>
    <w:div w:id="1658723666">
      <w:bodyDiv w:val="1"/>
      <w:marLeft w:val="0"/>
      <w:marRight w:val="0"/>
      <w:marTop w:val="0"/>
      <w:marBottom w:val="0"/>
      <w:divBdr>
        <w:top w:val="none" w:sz="0" w:space="0" w:color="auto"/>
        <w:left w:val="none" w:sz="0" w:space="0" w:color="auto"/>
        <w:bottom w:val="none" w:sz="0" w:space="0" w:color="auto"/>
        <w:right w:val="none" w:sz="0" w:space="0" w:color="auto"/>
      </w:divBdr>
    </w:div>
    <w:div w:id="210776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ea.valleix@tbwa-corporate.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hellogiggles.com/feminist-author-follow-twitter/"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412</TotalTime>
  <Pages>3</Pages>
  <Words>863</Words>
  <Characters>4750</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Groupe Hospitalier du Havre</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aubosy</dc:creator>
  <cp:keywords/>
  <dc:description/>
  <cp:lastModifiedBy>Utilisateur Microsoft Office</cp:lastModifiedBy>
  <cp:revision>20</cp:revision>
  <cp:lastPrinted>2022-01-20T19:51:00Z</cp:lastPrinted>
  <dcterms:created xsi:type="dcterms:W3CDTF">2022-01-17T09:32:00Z</dcterms:created>
  <dcterms:modified xsi:type="dcterms:W3CDTF">2022-01-20T19:55:00Z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3fbc5b3-0854-499e-ac99-1df59a3241e9_Enabled">
    <vt:lpwstr>true</vt:lpwstr>
  </property>
  <property fmtid="{D5CDD505-2E9C-101B-9397-08002B2CF9AE}" pid="3" name="MSIP_Label_b3fbc5b3-0854-499e-ac99-1df59a3241e9_SetDate">
    <vt:lpwstr>2022-01-18T13:58:01Z</vt:lpwstr>
  </property>
  <property fmtid="{D5CDD505-2E9C-101B-9397-08002B2CF9AE}" pid="4" name="MSIP_Label_b3fbc5b3-0854-499e-ac99-1df59a3241e9_Method">
    <vt:lpwstr>Standard</vt:lpwstr>
  </property>
  <property fmtid="{D5CDD505-2E9C-101B-9397-08002B2CF9AE}" pid="5" name="MSIP_Label_b3fbc5b3-0854-499e-ac99-1df59a3241e9_Name">
    <vt:lpwstr>b3fbc5b3-0854-499e-ac99-1df59a3241e9</vt:lpwstr>
  </property>
  <property fmtid="{D5CDD505-2E9C-101B-9397-08002B2CF9AE}" pid="6" name="MSIP_Label_b3fbc5b3-0854-499e-ac99-1df59a3241e9_SiteId">
    <vt:lpwstr>6eab6365-8194-49c6-a4d0-e2d1a0fbeb74</vt:lpwstr>
  </property>
  <property fmtid="{D5CDD505-2E9C-101B-9397-08002B2CF9AE}" pid="7" name="MSIP_Label_b3fbc5b3-0854-499e-ac99-1df59a3241e9_ActionId">
    <vt:lpwstr>1ae794bc-d60e-4a95-8fd4-c137bae48127</vt:lpwstr>
  </property>
  <property fmtid="{D5CDD505-2E9C-101B-9397-08002B2CF9AE}" pid="8" name="MSIP_Label_b3fbc5b3-0854-499e-ac99-1df59a3241e9_ContentBits">
    <vt:lpwstr>2</vt:lpwstr>
  </property>
</Properties>
</file>