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1E2B14" w14:textId="0B25612E" w:rsidR="00AC1DA5" w:rsidRDefault="001F29DF" w:rsidP="00AF27F5">
      <w:pPr>
        <w:pStyle w:val="Sansinterligne"/>
      </w:pPr>
      <w:r>
        <w:rPr>
          <w:noProof/>
          <w:lang w:eastAsia="fr-FR"/>
        </w:rPr>
        <w:drawing>
          <wp:inline distT="0" distB="0" distL="0" distR="0" wp14:anchorId="3D69B6DD" wp14:editId="340DE659">
            <wp:extent cx="862965" cy="922020"/>
            <wp:effectExtent l="0" t="0" r="635" b="5080"/>
            <wp:docPr id="10" name="Image 10" title="Logo du FIPHF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RPORATE-LYON:PARTAGE:Public:INFLUENCE:FIPHFP:COORDINATION:Logo:Nouveau logo 2014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5D26">
        <w:tab/>
      </w:r>
      <w:r w:rsidR="006C2456">
        <w:t xml:space="preserve">  </w:t>
      </w:r>
      <w:r w:rsidR="00265D26">
        <w:t xml:space="preserve">      </w:t>
      </w:r>
      <w:r w:rsidR="006C2456">
        <w:t xml:space="preserve">  </w:t>
      </w:r>
      <w:r w:rsidR="00265D26">
        <w:t xml:space="preserve">     </w:t>
      </w:r>
      <w:r w:rsidR="006C2456">
        <w:t xml:space="preserve">      </w:t>
      </w:r>
      <w:r w:rsidR="00F44BB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C63605" wp14:editId="458D98F5">
                <wp:simplePos x="0" y="0"/>
                <wp:positionH relativeFrom="column">
                  <wp:posOffset>-4580890</wp:posOffset>
                </wp:positionH>
                <wp:positionV relativeFrom="paragraph">
                  <wp:posOffset>-457835</wp:posOffset>
                </wp:positionV>
                <wp:extent cx="1943100" cy="8191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72456" w14:textId="77777777" w:rsidR="00E67B91" w:rsidRPr="00E013E6" w:rsidRDefault="00E67B91" w:rsidP="00AD24DA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E013E6">
                              <w:rPr>
                                <w:color w:val="FFFFFF" w:themeColor="background1"/>
                                <w:sz w:val="22"/>
                              </w:rPr>
                              <w:t>Communiqué de presse</w:t>
                            </w:r>
                          </w:p>
                          <w:p w14:paraId="0329AF11" w14:textId="77777777" w:rsidR="00E67B91" w:rsidRPr="00E013E6" w:rsidRDefault="00E67B91" w:rsidP="00AD24DA">
                            <w:pPr>
                              <w:spacing w:line="360" w:lineRule="auto"/>
                              <w:jc w:val="center"/>
                              <w:rPr>
                                <w:color w:val="FFFFFF" w:themeColor="background1"/>
                                <w:sz w:val="22"/>
                              </w:rPr>
                            </w:pPr>
                            <w:r w:rsidRPr="00E013E6">
                              <w:rPr>
                                <w:color w:val="FFFFFF" w:themeColor="background1"/>
                                <w:sz w:val="22"/>
                              </w:rPr>
                              <w:t>15 janvier 2018</w:t>
                            </w:r>
                          </w:p>
                          <w:p w14:paraId="712DDF03" w14:textId="77777777" w:rsidR="00E67B91" w:rsidRDefault="00E67B91" w:rsidP="00AD24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6360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-360.7pt;margin-top:-36.05pt;width:153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" filled="f" stroked="f">
                <v:textbox>
                  <w:txbxContent>
                    <w:p w14:paraId="0CA72456" w14:textId="77777777" w:rsidR="00E67B91" w:rsidRPr="00E013E6" w:rsidRDefault="00E67B91" w:rsidP="00AD24DA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E013E6">
                        <w:rPr>
                          <w:color w:val="FFFFFF" w:themeColor="background1"/>
                          <w:sz w:val="22"/>
                        </w:rPr>
                        <w:t>Communiqué de presse</w:t>
                      </w:r>
                    </w:p>
                    <w:p w14:paraId="0329AF11" w14:textId="77777777" w:rsidR="00E67B91" w:rsidRPr="00E013E6" w:rsidRDefault="00E67B91" w:rsidP="00AD24DA">
                      <w:pPr>
                        <w:spacing w:line="360" w:lineRule="auto"/>
                        <w:jc w:val="center"/>
                        <w:rPr>
                          <w:color w:val="FFFFFF" w:themeColor="background1"/>
                          <w:sz w:val="22"/>
                        </w:rPr>
                      </w:pPr>
                      <w:r w:rsidRPr="00E013E6">
                        <w:rPr>
                          <w:color w:val="FFFFFF" w:themeColor="background1"/>
                          <w:sz w:val="22"/>
                        </w:rPr>
                        <w:t>15 janvier 2018</w:t>
                      </w:r>
                    </w:p>
                    <w:p w14:paraId="712DDF03" w14:textId="77777777" w:rsidR="00E67B91" w:rsidRDefault="00E67B91" w:rsidP="00AD24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25736C45" w14:textId="7698172C" w:rsidR="00CE5019" w:rsidRDefault="00CE5019" w:rsidP="00CE5019">
      <w:pPr>
        <w:pStyle w:val="Sansinterligne"/>
        <w:jc w:val="right"/>
      </w:pPr>
    </w:p>
    <w:p w14:paraId="09B72071" w14:textId="77777777" w:rsidR="00CC3D2A" w:rsidRDefault="00CC3D2A" w:rsidP="00AF27F5"/>
    <w:p w14:paraId="0235CDA3" w14:textId="77777777" w:rsidR="00021389" w:rsidRDefault="00021389" w:rsidP="00AF27F5">
      <w:pPr>
        <w:rPr>
          <w:sz w:val="22"/>
        </w:rPr>
      </w:pPr>
    </w:p>
    <w:p w14:paraId="082D0802" w14:textId="77777777" w:rsidR="00021389" w:rsidRDefault="00021389" w:rsidP="00AF27F5">
      <w:pPr>
        <w:rPr>
          <w:sz w:val="22"/>
        </w:rPr>
      </w:pPr>
    </w:p>
    <w:p w14:paraId="4298EE0C" w14:textId="77777777" w:rsidR="00021389" w:rsidRDefault="00021389" w:rsidP="00AF27F5">
      <w:pPr>
        <w:rPr>
          <w:sz w:val="22"/>
        </w:rPr>
      </w:pPr>
    </w:p>
    <w:p w14:paraId="10D36C05" w14:textId="6F9B7373" w:rsidR="003110C8" w:rsidRPr="00F00AC5" w:rsidRDefault="003110C8" w:rsidP="00AF27F5">
      <w:pPr>
        <w:rPr>
          <w:sz w:val="22"/>
        </w:rPr>
      </w:pPr>
      <w:r w:rsidRPr="00F00AC5">
        <w:rPr>
          <w:sz w:val="22"/>
        </w:rPr>
        <w:t>DOSSIER DE PRESSE DU FIPHFP</w:t>
      </w:r>
    </w:p>
    <w:p w14:paraId="5F91852C" w14:textId="5437E9E3" w:rsidR="00021389" w:rsidRPr="00021389" w:rsidRDefault="003110C8" w:rsidP="00021389">
      <w:pPr>
        <w:pStyle w:val="Titre"/>
        <w:rPr>
          <w:b/>
          <w:sz w:val="44"/>
          <w:szCs w:val="38"/>
        </w:rPr>
      </w:pPr>
      <w:r w:rsidRPr="00D526BB">
        <w:rPr>
          <w:b/>
          <w:sz w:val="44"/>
          <w:szCs w:val="38"/>
        </w:rPr>
        <w:t>BILAN ET RÉSULTATS 2017</w:t>
      </w:r>
    </w:p>
    <w:p w14:paraId="6CAED481" w14:textId="77777777" w:rsidR="00021389" w:rsidRDefault="00021389" w:rsidP="00D526BB"/>
    <w:p w14:paraId="0A1B4BCF" w14:textId="77777777" w:rsidR="00021389" w:rsidRDefault="00021389" w:rsidP="00D526BB"/>
    <w:p w14:paraId="00149152" w14:textId="77777777" w:rsidR="00021389" w:rsidRDefault="00021389" w:rsidP="00D526BB"/>
    <w:p w14:paraId="3017A0D3" w14:textId="77777777" w:rsidR="00021389" w:rsidRDefault="00021389" w:rsidP="00D526BB"/>
    <w:p w14:paraId="158194AD" w14:textId="77777777" w:rsidR="00021389" w:rsidRDefault="00021389" w:rsidP="00D526BB"/>
    <w:p w14:paraId="27315FAE" w14:textId="77777777" w:rsidR="00021389" w:rsidRDefault="00021389" w:rsidP="00D526BB"/>
    <w:p w14:paraId="2C305DD8" w14:textId="77777777" w:rsidR="00021389" w:rsidRDefault="00021389" w:rsidP="00D526BB"/>
    <w:p w14:paraId="568CF3D2" w14:textId="77777777" w:rsidR="00021389" w:rsidRDefault="00021389" w:rsidP="00D526BB"/>
    <w:p w14:paraId="78729CA6" w14:textId="77777777" w:rsidR="00021389" w:rsidRDefault="00021389" w:rsidP="00D526BB">
      <w:bookmarkStart w:id="0" w:name="_GoBack"/>
      <w:bookmarkEnd w:id="0"/>
    </w:p>
    <w:p w14:paraId="5FF07295" w14:textId="77777777" w:rsidR="00021389" w:rsidRDefault="00021389" w:rsidP="00D526BB"/>
    <w:p w14:paraId="266895B9" w14:textId="15449AA6" w:rsidR="00021389" w:rsidRDefault="00021389" w:rsidP="00D526BB">
      <w:r>
        <w:t>—</w:t>
      </w:r>
    </w:p>
    <w:p w14:paraId="58023A5C" w14:textId="0503EB1A" w:rsidR="00D526BB" w:rsidRDefault="00D526BB" w:rsidP="00D526BB">
      <w:r>
        <w:t>Contact presse : Lucille Simon, TBWA\</w:t>
      </w:r>
      <w:proofErr w:type="spellStart"/>
      <w:r>
        <w:t>Co</w:t>
      </w:r>
      <w:r w:rsidR="00021389">
        <w:t>r</w:t>
      </w:r>
      <w:r>
        <w:t>porate</w:t>
      </w:r>
      <w:proofErr w:type="spellEnd"/>
      <w:r>
        <w:t xml:space="preserve">, </w:t>
      </w:r>
      <w:hyperlink r:id="rId9" w:history="1">
        <w:r w:rsidRPr="00B51952">
          <w:rPr>
            <w:rStyle w:val="Lienhypertexte"/>
          </w:rPr>
          <w:t>lucille.simon@tbwa.com</w:t>
        </w:r>
      </w:hyperlink>
      <w:r>
        <w:t>, 06 33 21 48 66</w:t>
      </w:r>
    </w:p>
    <w:p w14:paraId="3953724A" w14:textId="6E6E2597" w:rsidR="00D526BB" w:rsidRDefault="00D526BB" w:rsidP="00D526BB">
      <w:r>
        <w:t xml:space="preserve">Site internet : </w:t>
      </w:r>
      <w:hyperlink r:id="rId10" w:history="1">
        <w:r w:rsidRPr="00B51952">
          <w:rPr>
            <w:rStyle w:val="Lienhypertexte"/>
          </w:rPr>
          <w:t>www.fiphfp.fr</w:t>
        </w:r>
      </w:hyperlink>
    </w:p>
    <w:p w14:paraId="74880F15" w14:textId="12A50865" w:rsidR="00D526BB" w:rsidRPr="00D526BB" w:rsidRDefault="00D526BB" w:rsidP="00D526BB">
      <w:r>
        <w:t xml:space="preserve">Compte Twitter : </w:t>
      </w:r>
      <w:hyperlink r:id="rId11" w:history="1">
        <w:r w:rsidRPr="00B51952">
          <w:rPr>
            <w:rStyle w:val="Lienhypertexte"/>
          </w:rPr>
          <w:t>https://twitter.com/FIPHFP</w:t>
        </w:r>
      </w:hyperlink>
      <w:r>
        <w:t xml:space="preserve"> </w:t>
      </w:r>
    </w:p>
    <w:p w14:paraId="01F754A5" w14:textId="77777777" w:rsidR="00D526BB" w:rsidRDefault="00D526BB" w:rsidP="00D526BB"/>
    <w:p w14:paraId="0876EE59" w14:textId="77777777" w:rsidR="00D526BB" w:rsidRPr="00D526BB" w:rsidRDefault="00D526BB" w:rsidP="00021389"/>
    <w:p w14:paraId="6954738F" w14:textId="77777777" w:rsidR="00F00AC5" w:rsidRPr="00265D26" w:rsidRDefault="00F00AC5" w:rsidP="00AF27F5">
      <w:pPr>
        <w:spacing w:line="360" w:lineRule="auto"/>
        <w:rPr>
          <w:rFonts w:ascii="Arial" w:hAnsi="Arial" w:cs="Arial"/>
          <w:b/>
          <w:szCs w:val="10"/>
        </w:rPr>
      </w:pPr>
    </w:p>
    <w:p w14:paraId="218E400F" w14:textId="77777777" w:rsidR="00AF27F5" w:rsidRDefault="00AF27F5" w:rsidP="00AF27F5">
      <w:pPr>
        <w:rPr>
          <w:rFonts w:eastAsia="Times New Roman"/>
          <w:sz w:val="22"/>
          <w:szCs w:val="22"/>
        </w:rPr>
      </w:pPr>
    </w:p>
    <w:p w14:paraId="70E01930" w14:textId="77777777" w:rsidR="00021389" w:rsidRDefault="00021389">
      <w:pPr>
        <w:jc w:val="left"/>
        <w:rPr>
          <w:rFonts w:eastAsiaTheme="majorEastAsia" w:cstheme="majorBidi"/>
          <w:b/>
          <w:spacing w:val="-10"/>
          <w:kern w:val="28"/>
          <w:sz w:val="28"/>
          <w:szCs w:val="56"/>
        </w:rPr>
      </w:pPr>
      <w:r>
        <w:rPr>
          <w:b/>
          <w:sz w:val="28"/>
        </w:rPr>
        <w:br w:type="page"/>
      </w:r>
    </w:p>
    <w:p w14:paraId="0230FC8C" w14:textId="24A5349C" w:rsidR="003110C8" w:rsidRPr="00F00AC5" w:rsidRDefault="003110C8" w:rsidP="003110C8">
      <w:pPr>
        <w:pStyle w:val="Titre"/>
        <w:jc w:val="left"/>
        <w:rPr>
          <w:b/>
          <w:sz w:val="28"/>
        </w:rPr>
      </w:pPr>
      <w:r w:rsidRPr="00F00AC5">
        <w:rPr>
          <w:b/>
          <w:sz w:val="28"/>
        </w:rPr>
        <w:lastRenderedPageBreak/>
        <w:t>2017 : LE TAUX D’EMPLOI POURSUIT SA PROGRESSION</w:t>
      </w:r>
    </w:p>
    <w:p w14:paraId="7CB39656" w14:textId="74CF7964" w:rsidR="00C6415C" w:rsidRDefault="00C6415C" w:rsidP="005D644B">
      <w:pPr>
        <w:spacing w:line="276" w:lineRule="auto"/>
        <w:rPr>
          <w:rFonts w:ascii="Arial" w:hAnsi="Arial" w:cs="Arial"/>
          <w:szCs w:val="20"/>
        </w:rPr>
      </w:pPr>
    </w:p>
    <w:p w14:paraId="45AFFD5A" w14:textId="74294F5D" w:rsidR="003110C8" w:rsidRDefault="003110C8" w:rsidP="003110C8">
      <w:pPr>
        <w:jc w:val="left"/>
      </w:pPr>
      <w:r w:rsidRPr="003110C8">
        <w:rPr>
          <w:b/>
        </w:rPr>
        <w:t>5,49 %</w:t>
      </w:r>
      <w:r>
        <w:t xml:space="preserve"> : </w:t>
      </w:r>
      <w:r w:rsidRPr="003110C8">
        <w:t>Pour la troisième année consécutive, le taux</w:t>
      </w:r>
      <w:r>
        <w:t xml:space="preserve"> </w:t>
      </w:r>
      <w:r w:rsidRPr="003110C8">
        <w:t>d’emploi léga</w:t>
      </w:r>
      <w:r>
        <w:t xml:space="preserve">l des personnes en situation de </w:t>
      </w:r>
      <w:r w:rsidRPr="003110C8">
        <w:t>hand</w:t>
      </w:r>
      <w:r>
        <w:t>icap poursuit sa progression au-</w:t>
      </w:r>
      <w:r w:rsidRPr="003110C8">
        <w:t>dessus</w:t>
      </w:r>
      <w:r>
        <w:t xml:space="preserve"> de</w:t>
      </w:r>
      <w:r w:rsidRPr="003110C8">
        <w:t xml:space="preserve"> 5 %.</w:t>
      </w:r>
    </w:p>
    <w:p w14:paraId="3DA3DC79" w14:textId="77777777" w:rsidR="003110C8" w:rsidRDefault="003110C8" w:rsidP="003110C8">
      <w:pPr>
        <w:jc w:val="left"/>
      </w:pPr>
    </w:p>
    <w:p w14:paraId="569C774D" w14:textId="77777777" w:rsidR="003110C8" w:rsidRDefault="003110C8" w:rsidP="003110C8">
      <w:pPr>
        <w:jc w:val="left"/>
      </w:pPr>
      <w:r w:rsidRPr="003110C8">
        <w:t xml:space="preserve">Cela représente </w:t>
      </w:r>
      <w:r w:rsidRPr="003110C8">
        <w:rPr>
          <w:b/>
        </w:rPr>
        <w:t xml:space="preserve">240 691 </w:t>
      </w:r>
      <w:r w:rsidRPr="003110C8">
        <w:t>bénéficiaires de l’obligation d’emploi (BOE) dans</w:t>
      </w:r>
      <w:r>
        <w:t xml:space="preserve"> </w:t>
      </w:r>
      <w:r w:rsidRPr="003110C8">
        <w:t>l’ensemble des fonctions publiques.</w:t>
      </w:r>
      <w:r>
        <w:t xml:space="preserve"> </w:t>
      </w:r>
    </w:p>
    <w:p w14:paraId="620F04F8" w14:textId="77777777" w:rsidR="003110C8" w:rsidRDefault="003110C8" w:rsidP="003110C8">
      <w:pPr>
        <w:jc w:val="left"/>
      </w:pPr>
    </w:p>
    <w:p w14:paraId="581C0177" w14:textId="78A98301" w:rsidR="003110C8" w:rsidRPr="003110C8" w:rsidRDefault="003110C8" w:rsidP="003110C8">
      <w:pPr>
        <w:jc w:val="left"/>
      </w:pPr>
      <w:r w:rsidRPr="003110C8">
        <w:rPr>
          <w:b/>
        </w:rPr>
        <w:t>5,18 %</w:t>
      </w:r>
      <w:r w:rsidRPr="003110C8">
        <w:t xml:space="preserve"> : c’est le taux d’emploi direct dans les trois fonctions publiques</w:t>
      </w:r>
      <w:r>
        <w:t xml:space="preserve"> </w:t>
      </w:r>
      <w:r w:rsidRPr="003110C8">
        <w:t>(c’est à dire hors achats responsables)</w:t>
      </w:r>
      <w:r>
        <w:t>.</w:t>
      </w:r>
    </w:p>
    <w:p w14:paraId="45710B9F" w14:textId="77777777" w:rsidR="003110C8" w:rsidRPr="003110C8" w:rsidRDefault="003110C8" w:rsidP="003110C8"/>
    <w:p w14:paraId="0A9CBF33" w14:textId="7E73E26D" w:rsidR="00D34C78" w:rsidRDefault="003110C8" w:rsidP="003110C8">
      <w:pPr>
        <w:pStyle w:val="Titre1"/>
        <w:rPr>
          <w:rFonts w:cs="Arial"/>
          <w:b/>
          <w:szCs w:val="20"/>
        </w:rPr>
      </w:pPr>
      <w:r>
        <w:t>Évolution du taux d’emploi légal</w:t>
      </w:r>
    </w:p>
    <w:p w14:paraId="3EC25EA4" w14:textId="77777777" w:rsidR="003110C8" w:rsidRDefault="003110C8" w:rsidP="00A5113C">
      <w:pPr>
        <w:spacing w:line="276" w:lineRule="auto"/>
        <w:rPr>
          <w:rFonts w:cs="Arial"/>
          <w:szCs w:val="20"/>
        </w:rPr>
      </w:pPr>
    </w:p>
    <w:p w14:paraId="572E0949" w14:textId="4F6C6CA9" w:rsidR="00517C35" w:rsidRDefault="00517C35" w:rsidP="00A5113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Le taux d’emploi légal a augmenté de 1,75 points entre 2006 et 2017</w:t>
      </w:r>
      <w:r w:rsidR="00F00AC5">
        <w:rPr>
          <w:rFonts w:cs="Arial"/>
          <w:szCs w:val="20"/>
        </w:rPr>
        <w:t>.</w:t>
      </w:r>
    </w:p>
    <w:p w14:paraId="1A5E4AB7" w14:textId="06CCB4C0" w:rsidR="0033352E" w:rsidRDefault="00517C35" w:rsidP="00A5113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2006 : 3,74 %</w:t>
      </w:r>
    </w:p>
    <w:p w14:paraId="2F345C7B" w14:textId="0FB845C8" w:rsidR="00517C35" w:rsidRDefault="00517C35" w:rsidP="00A5113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2007 : 4 %</w:t>
      </w:r>
    </w:p>
    <w:p w14:paraId="01B82035" w14:textId="5E7F104E" w:rsidR="00517C35" w:rsidRDefault="00517C35" w:rsidP="00A5113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2008 : 4,21 %</w:t>
      </w:r>
    </w:p>
    <w:p w14:paraId="6EE88A38" w14:textId="4BA15CCC" w:rsidR="00517C35" w:rsidRDefault="00517C35" w:rsidP="00A5113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2009 : 4,38 %</w:t>
      </w:r>
    </w:p>
    <w:p w14:paraId="7864B9EF" w14:textId="0871DD7F" w:rsidR="00517C35" w:rsidRDefault="00517C35" w:rsidP="00A5113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2010 : 3,99 %</w:t>
      </w:r>
    </w:p>
    <w:p w14:paraId="0553BD2E" w14:textId="134B0D62" w:rsidR="00517C35" w:rsidRDefault="00517C35" w:rsidP="00A5113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2011 : 4,22 %</w:t>
      </w:r>
    </w:p>
    <w:p w14:paraId="789E68B0" w14:textId="414D1D93" w:rsidR="00517C35" w:rsidRDefault="00517C35" w:rsidP="00A5113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2012 : 4,39 %</w:t>
      </w:r>
    </w:p>
    <w:p w14:paraId="37B1D752" w14:textId="46747A5A" w:rsidR="00517C35" w:rsidRDefault="00517C35" w:rsidP="00A5113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2013 : 4,64 %</w:t>
      </w:r>
    </w:p>
    <w:p w14:paraId="5528362E" w14:textId="7D86A263" w:rsidR="00517C35" w:rsidRDefault="00517C35" w:rsidP="00A5113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2014 : 4,90 %</w:t>
      </w:r>
    </w:p>
    <w:p w14:paraId="04B87F7F" w14:textId="3110AC0C" w:rsidR="00517C35" w:rsidRDefault="00517C35" w:rsidP="00A5113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2015 : 5,17 %</w:t>
      </w:r>
    </w:p>
    <w:p w14:paraId="1D1E7494" w14:textId="67A51A67" w:rsidR="00517C35" w:rsidRDefault="00517C35" w:rsidP="00A5113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2016 : 5,32 %</w:t>
      </w:r>
    </w:p>
    <w:p w14:paraId="6081614F" w14:textId="3E343E23" w:rsidR="00517C35" w:rsidRPr="00D34C78" w:rsidRDefault="00517C35" w:rsidP="00A5113C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2017 : 5,49 %</w:t>
      </w:r>
    </w:p>
    <w:p w14:paraId="0B9C3321" w14:textId="4EF30FFC" w:rsidR="00421185" w:rsidRDefault="00421185" w:rsidP="001F29DF">
      <w:pPr>
        <w:spacing w:line="276" w:lineRule="auto"/>
        <w:rPr>
          <w:rFonts w:cs="Arial"/>
          <w:szCs w:val="20"/>
        </w:rPr>
      </w:pPr>
    </w:p>
    <w:p w14:paraId="7540921D" w14:textId="58474A79" w:rsidR="00517C35" w:rsidRDefault="00517C35" w:rsidP="00517C35">
      <w:pPr>
        <w:pStyle w:val="Titre1"/>
        <w:rPr>
          <w:rFonts w:cs="Arial"/>
          <w:szCs w:val="20"/>
        </w:rPr>
      </w:pPr>
      <w:r>
        <w:t>L’emploi dans les trois fonctions publiques</w:t>
      </w:r>
    </w:p>
    <w:p w14:paraId="1B0EDCAC" w14:textId="77777777" w:rsidR="00AF27F5" w:rsidRDefault="00AF27F5" w:rsidP="00AF27F5">
      <w:pPr>
        <w:spacing w:line="276" w:lineRule="auto"/>
        <w:rPr>
          <w:sz w:val="22"/>
        </w:rPr>
      </w:pPr>
    </w:p>
    <w:p w14:paraId="576A9967" w14:textId="66B57A50" w:rsidR="00517C35" w:rsidRPr="00517C35" w:rsidRDefault="00517C35" w:rsidP="00517C35">
      <w:pPr>
        <w:rPr>
          <w:color w:val="000000" w:themeColor="text1"/>
        </w:rPr>
      </w:pPr>
      <w:r w:rsidRPr="00517C35">
        <w:rPr>
          <w:b/>
          <w:color w:val="000000" w:themeColor="text1"/>
        </w:rPr>
        <w:t>Fonction publique d’État</w:t>
      </w:r>
      <w:r w:rsidRPr="00517C35">
        <w:rPr>
          <w:color w:val="000000" w:themeColor="text1"/>
        </w:rPr>
        <w:t> : 4,52 %</w:t>
      </w:r>
      <w:r>
        <w:rPr>
          <w:color w:val="000000" w:themeColor="text1"/>
        </w:rPr>
        <w:t xml:space="preserve"> s</w:t>
      </w:r>
      <w:r w:rsidRPr="00517C35">
        <w:rPr>
          <w:color w:val="000000" w:themeColor="text1"/>
        </w:rPr>
        <w:t xml:space="preserve">oit </w:t>
      </w:r>
      <w:r>
        <w:rPr>
          <w:color w:val="000000" w:themeColor="text1"/>
        </w:rPr>
        <w:t>85 </w:t>
      </w:r>
      <w:r w:rsidRPr="00517C35">
        <w:rPr>
          <w:color w:val="000000" w:themeColor="text1"/>
        </w:rPr>
        <w:t>193 BOE</w:t>
      </w:r>
    </w:p>
    <w:p w14:paraId="3697494A" w14:textId="429F71EF" w:rsidR="00517C35" w:rsidRDefault="00517C35" w:rsidP="00517C35">
      <w:pPr>
        <w:rPr>
          <w:color w:val="000000" w:themeColor="text1"/>
        </w:rPr>
      </w:pPr>
      <w:r>
        <w:rPr>
          <w:color w:val="000000" w:themeColor="text1"/>
        </w:rPr>
        <w:t xml:space="preserve">Taux d’emploi direct : </w:t>
      </w:r>
      <w:r w:rsidRPr="00517C35">
        <w:rPr>
          <w:color w:val="000000" w:themeColor="text1"/>
        </w:rPr>
        <w:t>4,24 %</w:t>
      </w:r>
    </w:p>
    <w:p w14:paraId="5B2239C2" w14:textId="77777777" w:rsidR="00517C35" w:rsidRDefault="00517C35" w:rsidP="00517C35">
      <w:pPr>
        <w:rPr>
          <w:color w:val="000000" w:themeColor="text1"/>
        </w:rPr>
      </w:pPr>
    </w:p>
    <w:p w14:paraId="2B402A20" w14:textId="52BA5ADD" w:rsidR="00517C35" w:rsidRPr="00517C35" w:rsidRDefault="00517C35" w:rsidP="00517C35">
      <w:r w:rsidRPr="00517C35">
        <w:rPr>
          <w:b/>
        </w:rPr>
        <w:t>Fonction publique hospitalière</w:t>
      </w:r>
      <w:r>
        <w:t xml:space="preserve"> : </w:t>
      </w:r>
      <w:r w:rsidRPr="00517C35">
        <w:t>5,55 %</w:t>
      </w:r>
      <w:r>
        <w:t xml:space="preserve"> s</w:t>
      </w:r>
      <w:r w:rsidRPr="00517C35">
        <w:t>oit 51 883 BOE</w:t>
      </w:r>
    </w:p>
    <w:p w14:paraId="4B0EBA7E" w14:textId="35BD303D" w:rsidR="00517C35" w:rsidRDefault="00517C35" w:rsidP="00517C35">
      <w:r>
        <w:t xml:space="preserve">Taux d’emploi direct : </w:t>
      </w:r>
      <w:r w:rsidRPr="00517C35">
        <w:t>5,26 %</w:t>
      </w:r>
    </w:p>
    <w:p w14:paraId="523CA5B4" w14:textId="77777777" w:rsidR="00517C35" w:rsidRDefault="00517C35" w:rsidP="00517C35"/>
    <w:p w14:paraId="3B2E3221" w14:textId="08CBBEBE" w:rsidR="00517C35" w:rsidRPr="00517C35" w:rsidRDefault="00517C35" w:rsidP="00517C35">
      <w:r w:rsidRPr="00517C35">
        <w:rPr>
          <w:b/>
        </w:rPr>
        <w:t>Fonction publique territoriale</w:t>
      </w:r>
      <w:r>
        <w:t xml:space="preserve"> : </w:t>
      </w:r>
      <w:r w:rsidRPr="00517C35">
        <w:t>6,62 %</w:t>
      </w:r>
      <w:r>
        <w:t xml:space="preserve"> s</w:t>
      </w:r>
      <w:r w:rsidRPr="00517C35">
        <w:t>oit 103 615 BOE</w:t>
      </w:r>
    </w:p>
    <w:p w14:paraId="7BADC6EC" w14:textId="04840884" w:rsidR="00517C35" w:rsidRPr="00517C35" w:rsidRDefault="00517C35" w:rsidP="00517C35">
      <w:r>
        <w:t xml:space="preserve">Taux d’emploi direct : </w:t>
      </w:r>
      <w:r w:rsidRPr="00517C35">
        <w:t>6,27 %</w:t>
      </w:r>
    </w:p>
    <w:p w14:paraId="1ACB8A77" w14:textId="59D1C81D" w:rsidR="008A59C8" w:rsidRDefault="00F00AC5" w:rsidP="00F00AC5">
      <w:pPr>
        <w:pStyle w:val="Titre1"/>
      </w:pPr>
      <w:r>
        <w:t>La</w:t>
      </w:r>
      <w:r w:rsidRPr="00F00AC5">
        <w:t xml:space="preserve"> pyramide des</w:t>
      </w:r>
      <w:r>
        <w:t xml:space="preserve"> âges illustre un vieillissement des bénéficiaires de </w:t>
      </w:r>
      <w:r w:rsidRPr="00F00AC5">
        <w:t>l’obligation</w:t>
      </w:r>
      <w:r>
        <w:t xml:space="preserve"> </w:t>
      </w:r>
      <w:r w:rsidRPr="00F00AC5">
        <w:t>d’emploi</w:t>
      </w:r>
      <w:r>
        <w:t> </w:t>
      </w:r>
    </w:p>
    <w:p w14:paraId="34090A02" w14:textId="77777777" w:rsidR="00F00AC5" w:rsidRDefault="00F00AC5" w:rsidP="00F00AC5"/>
    <w:p w14:paraId="411DED7B" w14:textId="182F8CB2" w:rsidR="00F00AC5" w:rsidRPr="00F00AC5" w:rsidRDefault="00F00AC5" w:rsidP="00F00AC5">
      <w:r w:rsidRPr="00F00AC5">
        <w:t>BOE de moins de 25 ans</w:t>
      </w:r>
      <w:r>
        <w:t> : 1 %</w:t>
      </w:r>
    </w:p>
    <w:p w14:paraId="342C52C3" w14:textId="733535C5" w:rsidR="00F00AC5" w:rsidRPr="00F00AC5" w:rsidRDefault="00F00AC5" w:rsidP="00F00AC5">
      <w:r w:rsidRPr="00F00AC5">
        <w:t>BOE entre 26 et 40 ans</w:t>
      </w:r>
      <w:r>
        <w:t> : 16 %</w:t>
      </w:r>
    </w:p>
    <w:p w14:paraId="236FDCD5" w14:textId="5B5CADBE" w:rsidR="00F00AC5" w:rsidRPr="00F00AC5" w:rsidRDefault="00F00AC5" w:rsidP="00F00AC5">
      <w:r w:rsidRPr="00F00AC5">
        <w:t>BOE entre 41 et 55 ans</w:t>
      </w:r>
      <w:r>
        <w:t> : 55 %</w:t>
      </w:r>
    </w:p>
    <w:p w14:paraId="5FF6F51F" w14:textId="0D823083" w:rsidR="00F00AC5" w:rsidRDefault="00F00AC5" w:rsidP="00F00AC5">
      <w:r w:rsidRPr="00F00AC5">
        <w:t>BOE de 56 ans et plus</w:t>
      </w:r>
      <w:r>
        <w:t> : 28 %</w:t>
      </w:r>
    </w:p>
    <w:p w14:paraId="568BC6F0" w14:textId="77777777" w:rsidR="00F00AC5" w:rsidRDefault="00F00AC5" w:rsidP="00F00AC5"/>
    <w:p w14:paraId="4B5BCB9D" w14:textId="77777777" w:rsidR="00F00AC5" w:rsidRDefault="00F00AC5" w:rsidP="00F00AC5"/>
    <w:p w14:paraId="2988DA92" w14:textId="77777777" w:rsidR="00021389" w:rsidRDefault="00021389">
      <w:pPr>
        <w:jc w:val="left"/>
        <w:rPr>
          <w:rFonts w:eastAsiaTheme="majorEastAsia" w:cstheme="majorBidi"/>
          <w:b/>
          <w:spacing w:val="-10"/>
          <w:kern w:val="28"/>
          <w:sz w:val="28"/>
          <w:szCs w:val="56"/>
        </w:rPr>
      </w:pPr>
      <w:r>
        <w:rPr>
          <w:b/>
          <w:sz w:val="28"/>
        </w:rPr>
        <w:br w:type="page"/>
      </w:r>
    </w:p>
    <w:p w14:paraId="1B9F2B7E" w14:textId="60334271" w:rsidR="00F00AC5" w:rsidRDefault="00F00AC5" w:rsidP="00F00AC5">
      <w:pPr>
        <w:pStyle w:val="Titre"/>
        <w:jc w:val="left"/>
        <w:rPr>
          <w:b/>
          <w:sz w:val="28"/>
        </w:rPr>
      </w:pPr>
      <w:r w:rsidRPr="00F00AC5">
        <w:rPr>
          <w:b/>
          <w:sz w:val="28"/>
        </w:rPr>
        <w:lastRenderedPageBreak/>
        <w:t>UNE AMÉLIORATION GLOBALE DU TAUX D’EMPLOI LÉGAL SUR L’ENSEMBLE DU TERRITOIRE</w:t>
      </w:r>
    </w:p>
    <w:p w14:paraId="30C89DB2" w14:textId="77777777" w:rsidR="00BF03D5" w:rsidRDefault="00BF03D5" w:rsidP="00BF03D5"/>
    <w:p w14:paraId="2F984596" w14:textId="6F7F0EE7" w:rsidR="00BF03D5" w:rsidRPr="00BF03D5" w:rsidRDefault="00BF03D5" w:rsidP="00BF03D5">
      <w:r w:rsidRPr="00BF03D5">
        <w:t xml:space="preserve">Hauts-de-France : </w:t>
      </w:r>
      <w:r w:rsidRPr="00F10854">
        <w:rPr>
          <w:b/>
        </w:rPr>
        <w:t>6,4 %</w:t>
      </w:r>
    </w:p>
    <w:p w14:paraId="472A9AA7" w14:textId="77B97650" w:rsidR="00BF03D5" w:rsidRPr="00BF03D5" w:rsidRDefault="00BF03D5" w:rsidP="00BF03D5">
      <w:r w:rsidRPr="00BF03D5">
        <w:t xml:space="preserve">Normandie : </w:t>
      </w:r>
      <w:r w:rsidRPr="00F10854">
        <w:rPr>
          <w:b/>
        </w:rPr>
        <w:t>5,95 %</w:t>
      </w:r>
    </w:p>
    <w:p w14:paraId="52068B08" w14:textId="59DB8FC0" w:rsidR="00BF03D5" w:rsidRPr="00BF03D5" w:rsidRDefault="00BF03D5" w:rsidP="00BF03D5">
      <w:r w:rsidRPr="00BF03D5">
        <w:t xml:space="preserve">Grand-Est : </w:t>
      </w:r>
      <w:r w:rsidRPr="00F10854">
        <w:rPr>
          <w:b/>
        </w:rPr>
        <w:t>6,15 %</w:t>
      </w:r>
    </w:p>
    <w:p w14:paraId="15823066" w14:textId="1A6978D1" w:rsidR="00BF03D5" w:rsidRPr="00BF03D5" w:rsidRDefault="00BF03D5" w:rsidP="00BF03D5">
      <w:r w:rsidRPr="00BF03D5">
        <w:t xml:space="preserve">Île-de-France : </w:t>
      </w:r>
      <w:r w:rsidRPr="00F10854">
        <w:rPr>
          <w:b/>
        </w:rPr>
        <w:t>5,48 %</w:t>
      </w:r>
    </w:p>
    <w:p w14:paraId="46B93C91" w14:textId="74E5B2DB" w:rsidR="00BF03D5" w:rsidRPr="00BF03D5" w:rsidRDefault="00BF03D5" w:rsidP="00BF03D5">
      <w:r w:rsidRPr="00BF03D5">
        <w:t xml:space="preserve">Bretagne : </w:t>
      </w:r>
      <w:r w:rsidRPr="00F10854">
        <w:rPr>
          <w:b/>
        </w:rPr>
        <w:t>6,42 %</w:t>
      </w:r>
      <w:r w:rsidRPr="00BF03D5">
        <w:t xml:space="preserve"> </w:t>
      </w:r>
    </w:p>
    <w:p w14:paraId="48F90616" w14:textId="6EAF6697" w:rsidR="00BF03D5" w:rsidRPr="00BF03D5" w:rsidRDefault="00BF03D5" w:rsidP="00BF03D5">
      <w:r w:rsidRPr="00BF03D5">
        <w:t xml:space="preserve">Pays de la Loire : </w:t>
      </w:r>
      <w:r w:rsidRPr="00F10854">
        <w:rPr>
          <w:b/>
        </w:rPr>
        <w:t>6 %</w:t>
      </w:r>
    </w:p>
    <w:p w14:paraId="6D89FAB4" w14:textId="060D196F" w:rsidR="00BF03D5" w:rsidRPr="00BF03D5" w:rsidRDefault="00BF03D5" w:rsidP="00BF03D5">
      <w:r w:rsidRPr="00BF03D5">
        <w:t xml:space="preserve">Centre-Val de Loire : </w:t>
      </w:r>
      <w:r w:rsidRPr="00F10854">
        <w:rPr>
          <w:b/>
        </w:rPr>
        <w:t xml:space="preserve">5,77 % </w:t>
      </w:r>
    </w:p>
    <w:p w14:paraId="66E210E1" w14:textId="0899DF0F" w:rsidR="00BF03D5" w:rsidRPr="00F10854" w:rsidRDefault="00BF03D5" w:rsidP="00BF03D5">
      <w:pPr>
        <w:rPr>
          <w:b/>
        </w:rPr>
      </w:pPr>
      <w:r w:rsidRPr="00BF03D5">
        <w:t xml:space="preserve">Bourgogne-Franche-Comté : </w:t>
      </w:r>
      <w:r w:rsidRPr="00F10854">
        <w:rPr>
          <w:b/>
        </w:rPr>
        <w:t>5,91 %</w:t>
      </w:r>
    </w:p>
    <w:p w14:paraId="70238146" w14:textId="6292FB8E" w:rsidR="00BF03D5" w:rsidRPr="00BF03D5" w:rsidRDefault="00BF03D5" w:rsidP="00BF03D5">
      <w:r w:rsidRPr="00BF03D5">
        <w:t xml:space="preserve">Nouvelle-Aquitaine : </w:t>
      </w:r>
      <w:r w:rsidRPr="00F10854">
        <w:rPr>
          <w:b/>
        </w:rPr>
        <w:t>6,34 %</w:t>
      </w:r>
    </w:p>
    <w:p w14:paraId="1A11A6FE" w14:textId="5A5E4F88" w:rsidR="00BF03D5" w:rsidRPr="00F10854" w:rsidRDefault="00BF03D5" w:rsidP="00BF03D5">
      <w:pPr>
        <w:rPr>
          <w:b/>
        </w:rPr>
      </w:pPr>
      <w:r w:rsidRPr="00BF03D5">
        <w:t xml:space="preserve">Auvergne-Rhône-Alpes : </w:t>
      </w:r>
      <w:r w:rsidRPr="00F10854">
        <w:rPr>
          <w:b/>
        </w:rPr>
        <w:t>5,6 %</w:t>
      </w:r>
    </w:p>
    <w:p w14:paraId="62D7E59D" w14:textId="054A7EB2" w:rsidR="00BF03D5" w:rsidRPr="00F10854" w:rsidRDefault="00BF03D5" w:rsidP="00BF03D5">
      <w:r w:rsidRPr="00BF03D5">
        <w:t xml:space="preserve">Occitanie : </w:t>
      </w:r>
      <w:r w:rsidRPr="00F10854">
        <w:rPr>
          <w:b/>
        </w:rPr>
        <w:t>6,53 %</w:t>
      </w:r>
    </w:p>
    <w:p w14:paraId="55CD63AB" w14:textId="2BC8ACB5" w:rsidR="00BF03D5" w:rsidRPr="00BF03D5" w:rsidRDefault="00BF03D5" w:rsidP="00BF03D5">
      <w:r w:rsidRPr="00BF03D5">
        <w:t xml:space="preserve">Provence-Alpes-Côte d’Azur : </w:t>
      </w:r>
      <w:r w:rsidRPr="00F10854">
        <w:rPr>
          <w:b/>
        </w:rPr>
        <w:t>6,49 %</w:t>
      </w:r>
    </w:p>
    <w:p w14:paraId="4875D0FD" w14:textId="2B899DE0" w:rsidR="00BF03D5" w:rsidRPr="00BF03D5" w:rsidRDefault="00BF03D5" w:rsidP="00BF03D5">
      <w:r w:rsidRPr="00BF03D5">
        <w:t xml:space="preserve">Corse : </w:t>
      </w:r>
      <w:r w:rsidRPr="00F10854">
        <w:rPr>
          <w:b/>
        </w:rPr>
        <w:t>8,25 %</w:t>
      </w:r>
    </w:p>
    <w:p w14:paraId="4AC48D4B" w14:textId="15ECE14A" w:rsidR="00BF03D5" w:rsidRPr="00F10854" w:rsidRDefault="00BF03D5" w:rsidP="00BF03D5">
      <w:pPr>
        <w:rPr>
          <w:b/>
        </w:rPr>
      </w:pPr>
      <w:r w:rsidRPr="00BF03D5">
        <w:t xml:space="preserve">Guadeloupe : </w:t>
      </w:r>
      <w:r w:rsidRPr="00F10854">
        <w:rPr>
          <w:b/>
        </w:rPr>
        <w:t>2,81 %</w:t>
      </w:r>
    </w:p>
    <w:p w14:paraId="61C2B28E" w14:textId="7233AD55" w:rsidR="00BF03D5" w:rsidRPr="00BF03D5" w:rsidRDefault="00BF03D5" w:rsidP="00BF03D5">
      <w:r w:rsidRPr="00BF03D5">
        <w:t xml:space="preserve">Guyane : </w:t>
      </w:r>
      <w:r w:rsidRPr="00F10854">
        <w:rPr>
          <w:b/>
        </w:rPr>
        <w:t>4,09 %</w:t>
      </w:r>
    </w:p>
    <w:p w14:paraId="165D5CBB" w14:textId="29C9351E" w:rsidR="00BF03D5" w:rsidRPr="00BF03D5" w:rsidRDefault="00BF03D5" w:rsidP="00BF03D5">
      <w:r w:rsidRPr="00BF03D5">
        <w:t xml:space="preserve">La Réunion : </w:t>
      </w:r>
      <w:r w:rsidRPr="00F10854">
        <w:rPr>
          <w:b/>
        </w:rPr>
        <w:t>4,95 %</w:t>
      </w:r>
    </w:p>
    <w:p w14:paraId="185BABFA" w14:textId="13FC47C9" w:rsidR="00BF03D5" w:rsidRPr="00BF03D5" w:rsidRDefault="00BF03D5" w:rsidP="00BF03D5">
      <w:r w:rsidRPr="00BF03D5">
        <w:t xml:space="preserve">Martinique : </w:t>
      </w:r>
      <w:r w:rsidRPr="00F10854">
        <w:rPr>
          <w:b/>
        </w:rPr>
        <w:t>5,36 %</w:t>
      </w:r>
    </w:p>
    <w:p w14:paraId="27868C62" w14:textId="77777777" w:rsidR="00BF03D5" w:rsidRDefault="00BF03D5" w:rsidP="00BF03D5"/>
    <w:p w14:paraId="08E05F4F" w14:textId="146BA42E" w:rsidR="00F10854" w:rsidRPr="00F10854" w:rsidRDefault="00F10854" w:rsidP="00F10854">
      <w:r w:rsidRPr="00F10854">
        <w:t>Les taux indiqués n’incluent pas les employeurs nationaux.</w:t>
      </w:r>
    </w:p>
    <w:p w14:paraId="2F0693AF" w14:textId="22B4FD71" w:rsidR="00F10854" w:rsidRDefault="00F10854" w:rsidP="00F10854">
      <w:r w:rsidRPr="00F10854">
        <w:t xml:space="preserve">Taux d’emploi légal des employeurs nationaux : </w:t>
      </w:r>
      <w:r w:rsidRPr="00F10854">
        <w:rPr>
          <w:b/>
        </w:rPr>
        <w:t>4,66 %</w:t>
      </w:r>
    </w:p>
    <w:p w14:paraId="0086412C" w14:textId="77777777" w:rsidR="00F10854" w:rsidRPr="00F10854" w:rsidRDefault="00F10854" w:rsidP="00F10854"/>
    <w:p w14:paraId="397EDAE6" w14:textId="023DF834" w:rsidR="00F10854" w:rsidRPr="00F10854" w:rsidRDefault="00F10854" w:rsidP="00F10854">
      <w:r w:rsidRPr="00F10854">
        <w:rPr>
          <w:b/>
        </w:rPr>
        <w:t>8</w:t>
      </w:r>
      <w:r>
        <w:t xml:space="preserve"> : </w:t>
      </w:r>
      <w:r w:rsidRPr="00F10854">
        <w:t>C’est le nomb</w:t>
      </w:r>
      <w:r>
        <w:t xml:space="preserve">re de régions qui atteignent ou </w:t>
      </w:r>
      <w:r w:rsidRPr="00F10854">
        <w:t>dépassent le taux de 6 % de personnes en</w:t>
      </w:r>
      <w:r>
        <w:t xml:space="preserve"> </w:t>
      </w:r>
      <w:r w:rsidRPr="00F10854">
        <w:t>situation de handicap en 2017.</w:t>
      </w:r>
    </w:p>
    <w:p w14:paraId="2B785093" w14:textId="77777777" w:rsidR="00BF03D5" w:rsidRDefault="00BF03D5" w:rsidP="00BF03D5"/>
    <w:p w14:paraId="68663701" w14:textId="77777777" w:rsidR="00F10854" w:rsidRDefault="00F10854" w:rsidP="00F10854">
      <w:pPr>
        <w:pStyle w:val="Titre"/>
        <w:rPr>
          <w:b/>
          <w:sz w:val="28"/>
          <w:szCs w:val="28"/>
        </w:rPr>
      </w:pPr>
    </w:p>
    <w:p w14:paraId="3BF9E7BD" w14:textId="77777777" w:rsidR="00BF7D95" w:rsidRDefault="00BF7D95">
      <w:pPr>
        <w:jc w:val="left"/>
        <w:rPr>
          <w:rFonts w:eastAsiaTheme="majorEastAsia" w:cstheme="majorBidi"/>
          <w:b/>
          <w:spacing w:val="-10"/>
          <w:kern w:val="28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9A36B96" w14:textId="0E4D065D" w:rsidR="00F10854" w:rsidRDefault="00F10854" w:rsidP="00F10854">
      <w:pPr>
        <w:pStyle w:val="Titre"/>
        <w:rPr>
          <w:b/>
          <w:sz w:val="28"/>
          <w:szCs w:val="28"/>
        </w:rPr>
      </w:pPr>
      <w:r w:rsidRPr="00F10854">
        <w:rPr>
          <w:b/>
          <w:sz w:val="28"/>
          <w:szCs w:val="28"/>
        </w:rPr>
        <w:lastRenderedPageBreak/>
        <w:t>DES RÉSULTATS EN PROGRESSION</w:t>
      </w:r>
      <w:r>
        <w:rPr>
          <w:b/>
          <w:sz w:val="28"/>
          <w:szCs w:val="28"/>
        </w:rPr>
        <w:t xml:space="preserve"> </w:t>
      </w:r>
      <w:r w:rsidRPr="00F10854">
        <w:rPr>
          <w:b/>
          <w:sz w:val="28"/>
          <w:szCs w:val="28"/>
        </w:rPr>
        <w:t>CONSTANTE SUR LES 5 MISSIONS DU FIPHFP</w:t>
      </w:r>
    </w:p>
    <w:p w14:paraId="78BD7577" w14:textId="77777777" w:rsidR="00D6696E" w:rsidRDefault="00D6696E" w:rsidP="00D6696E"/>
    <w:p w14:paraId="17505670" w14:textId="0010B213" w:rsidR="00D6696E" w:rsidRDefault="00D6696E" w:rsidP="00D6696E">
      <w:pPr>
        <w:pStyle w:val="Titre1"/>
      </w:pPr>
      <w:r>
        <w:t>Les 5 missions du FIPHFP</w:t>
      </w:r>
    </w:p>
    <w:p w14:paraId="1B8C3CE6" w14:textId="77777777" w:rsidR="00D6696E" w:rsidRDefault="00D6696E" w:rsidP="00D6696E"/>
    <w:p w14:paraId="6E090DA8" w14:textId="545D9C9C" w:rsidR="00D6696E" w:rsidRDefault="00D6696E" w:rsidP="00D6696E">
      <w:pPr>
        <w:pStyle w:val="Paragraphedeliste"/>
        <w:numPr>
          <w:ilvl w:val="0"/>
          <w:numId w:val="14"/>
        </w:numPr>
      </w:pPr>
      <w:r>
        <w:t>Favoriser l’emploi des personnes en situation de handicap</w:t>
      </w:r>
    </w:p>
    <w:p w14:paraId="3C98FE39" w14:textId="1E2D0C05" w:rsidR="00D6696E" w:rsidRDefault="00D6696E" w:rsidP="00D6696E">
      <w:pPr>
        <w:pStyle w:val="Paragraphedeliste"/>
        <w:numPr>
          <w:ilvl w:val="0"/>
          <w:numId w:val="14"/>
        </w:numPr>
      </w:pPr>
      <w:r>
        <w:t>Aider à leur maintien dans l’emploi</w:t>
      </w:r>
    </w:p>
    <w:p w14:paraId="170E645D" w14:textId="55DCBB31" w:rsidR="00D6696E" w:rsidRDefault="00D6696E" w:rsidP="00D6696E">
      <w:pPr>
        <w:pStyle w:val="Paragraphedeliste"/>
        <w:numPr>
          <w:ilvl w:val="0"/>
          <w:numId w:val="14"/>
        </w:numPr>
      </w:pPr>
      <w:r>
        <w:t>Contribuer à un environnement professionnel numérique accessible</w:t>
      </w:r>
    </w:p>
    <w:p w14:paraId="4132D330" w14:textId="48643E9A" w:rsidR="00D6696E" w:rsidRDefault="00D6696E" w:rsidP="00D6696E">
      <w:pPr>
        <w:pStyle w:val="Paragraphedeliste"/>
        <w:numPr>
          <w:ilvl w:val="0"/>
          <w:numId w:val="14"/>
        </w:numPr>
      </w:pPr>
      <w:r>
        <w:t>Valoriser l’apprentissage</w:t>
      </w:r>
    </w:p>
    <w:p w14:paraId="2E608893" w14:textId="7D3495EA" w:rsidR="00D6696E" w:rsidRDefault="00D6696E" w:rsidP="00D6696E">
      <w:pPr>
        <w:pStyle w:val="Paragraphedeliste"/>
        <w:numPr>
          <w:ilvl w:val="0"/>
          <w:numId w:val="14"/>
        </w:numPr>
      </w:pPr>
      <w:r>
        <w:t>Soutenir la formation professionnelle des agents en situation de handicap et sensibiliser l’environnement professionnel</w:t>
      </w:r>
    </w:p>
    <w:p w14:paraId="0B52F73B" w14:textId="77777777" w:rsidR="00D6696E" w:rsidRPr="00D6696E" w:rsidRDefault="00D6696E" w:rsidP="00D6696E"/>
    <w:p w14:paraId="3ED56F68" w14:textId="3A99E8D8" w:rsidR="00D6696E" w:rsidRPr="00D6696E" w:rsidRDefault="00D6696E" w:rsidP="00D6696E">
      <w:pPr>
        <w:rPr>
          <w:i/>
        </w:rPr>
      </w:pPr>
      <w:r w:rsidRPr="00D6696E">
        <w:rPr>
          <w:i/>
        </w:rPr>
        <w:t>Pour chacune des missions, des exemples d’employeurs sont disponibles en annexe de ce dossier de</w:t>
      </w:r>
    </w:p>
    <w:p w14:paraId="23F9A624" w14:textId="7D3C2236" w:rsidR="00AD2275" w:rsidRPr="00BF7D95" w:rsidRDefault="00D6696E" w:rsidP="00BF7D95">
      <w:pPr>
        <w:rPr>
          <w:i/>
        </w:rPr>
      </w:pPr>
      <w:proofErr w:type="gramStart"/>
      <w:r w:rsidRPr="00D6696E">
        <w:rPr>
          <w:i/>
        </w:rPr>
        <w:t>presse</w:t>
      </w:r>
      <w:proofErr w:type="gramEnd"/>
      <w:r w:rsidRPr="00D6696E">
        <w:rPr>
          <w:i/>
        </w:rPr>
        <w:t>.</w:t>
      </w:r>
    </w:p>
    <w:p w14:paraId="3B677431" w14:textId="77777777" w:rsidR="00AD2275" w:rsidRDefault="00AD2275" w:rsidP="00D6696E">
      <w:pPr>
        <w:pStyle w:val="Titre1"/>
        <w:rPr>
          <w:color w:val="4BACC6" w:themeColor="accent5"/>
        </w:rPr>
      </w:pPr>
    </w:p>
    <w:p w14:paraId="191085F3" w14:textId="77777777" w:rsidR="00D6696E" w:rsidRDefault="00D6696E" w:rsidP="00D6696E">
      <w:pPr>
        <w:pStyle w:val="Titre1"/>
      </w:pPr>
      <w:r w:rsidRPr="00D6696E">
        <w:rPr>
          <w:color w:val="4BACC6" w:themeColor="accent5"/>
        </w:rPr>
        <w:t xml:space="preserve">LE RECRUTEMENT ATTEINT </w:t>
      </w:r>
      <w:r>
        <w:t>UN NIVEAU RECORD</w:t>
      </w:r>
    </w:p>
    <w:p w14:paraId="692688B3" w14:textId="29EF6B88" w:rsidR="00D6696E" w:rsidRDefault="00D6696E" w:rsidP="00D6696E">
      <w:pPr>
        <w:pStyle w:val="Titre1"/>
        <w:rPr>
          <w:sz w:val="21"/>
          <w:szCs w:val="21"/>
        </w:rPr>
      </w:pPr>
      <w:r>
        <w:rPr>
          <w:sz w:val="21"/>
          <w:szCs w:val="21"/>
        </w:rPr>
        <w:t>Évolution du nombre de recrutements total et par fonction publique</w:t>
      </w:r>
    </w:p>
    <w:p w14:paraId="0AE14FB9" w14:textId="77777777" w:rsidR="00AD2275" w:rsidRDefault="00AD2275" w:rsidP="00AD2275"/>
    <w:p w14:paraId="00BC3079" w14:textId="591B47C9" w:rsidR="00AD2275" w:rsidRPr="00AD2275" w:rsidRDefault="00AD2275" w:rsidP="00AD2275">
      <w:pPr>
        <w:rPr>
          <w:b/>
        </w:rPr>
      </w:pPr>
      <w:r w:rsidRPr="00AD2275">
        <w:rPr>
          <w:b/>
        </w:rPr>
        <w:t>Déclarations 2015</w:t>
      </w:r>
    </w:p>
    <w:p w14:paraId="32202A81" w14:textId="0E135009" w:rsidR="00AD2275" w:rsidRPr="00AD2275" w:rsidRDefault="00AD2275" w:rsidP="00AD2275">
      <w:pPr>
        <w:rPr>
          <w:color w:val="000000" w:themeColor="text1"/>
        </w:rPr>
      </w:pPr>
      <w:r w:rsidRPr="00AD2275">
        <w:rPr>
          <w:color w:val="000000" w:themeColor="text1"/>
        </w:rPr>
        <w:t xml:space="preserve">Fonction publique d’État : </w:t>
      </w:r>
      <w:r>
        <w:rPr>
          <w:color w:val="000000" w:themeColor="text1"/>
        </w:rPr>
        <w:t>4 099 recrutements</w:t>
      </w:r>
    </w:p>
    <w:p w14:paraId="3F12285D" w14:textId="15F21DF2" w:rsidR="00AD2275" w:rsidRPr="00AD2275" w:rsidRDefault="00AD2275" w:rsidP="00AD2275">
      <w:r w:rsidRPr="00AD2275">
        <w:t xml:space="preserve">Fonction publique hospitalière : </w:t>
      </w:r>
      <w:r>
        <w:t>5 036 recrutements</w:t>
      </w:r>
    </w:p>
    <w:p w14:paraId="300F74DD" w14:textId="04739AFE" w:rsidR="00AD2275" w:rsidRDefault="00AD2275" w:rsidP="00AD2275">
      <w:r w:rsidRPr="00AD2275">
        <w:t xml:space="preserve">Fonction publique territoriale : </w:t>
      </w:r>
      <w:r>
        <w:t xml:space="preserve">15 537 recrutements </w:t>
      </w:r>
    </w:p>
    <w:p w14:paraId="67C97EFF" w14:textId="081903DE" w:rsidR="00AD2275" w:rsidRDefault="00AD2275" w:rsidP="00AD2275">
      <w:r>
        <w:t>Total : 24 672 recrutements</w:t>
      </w:r>
    </w:p>
    <w:p w14:paraId="204A7B18" w14:textId="77777777" w:rsidR="00AD2275" w:rsidRDefault="00AD2275" w:rsidP="00AD2275"/>
    <w:p w14:paraId="7BBECEB9" w14:textId="74C11EA4" w:rsidR="00AD2275" w:rsidRPr="00AD2275" w:rsidRDefault="00AD2275" w:rsidP="00AD2275">
      <w:pPr>
        <w:rPr>
          <w:b/>
        </w:rPr>
      </w:pPr>
      <w:r>
        <w:rPr>
          <w:b/>
        </w:rPr>
        <w:t>Déclarations 2016</w:t>
      </w:r>
    </w:p>
    <w:p w14:paraId="620D9075" w14:textId="3DFC1589" w:rsidR="00AD2275" w:rsidRPr="00AD2275" w:rsidRDefault="00AD2275" w:rsidP="00AD2275">
      <w:pPr>
        <w:rPr>
          <w:color w:val="000000" w:themeColor="text1"/>
        </w:rPr>
      </w:pPr>
      <w:r w:rsidRPr="00AD2275">
        <w:rPr>
          <w:color w:val="000000" w:themeColor="text1"/>
        </w:rPr>
        <w:t xml:space="preserve">Fonction publique d’État : </w:t>
      </w:r>
      <w:r>
        <w:rPr>
          <w:color w:val="000000" w:themeColor="text1"/>
        </w:rPr>
        <w:t>3 855 recrutements</w:t>
      </w:r>
    </w:p>
    <w:p w14:paraId="3D6BBF15" w14:textId="052648D9" w:rsidR="00AD2275" w:rsidRPr="00AD2275" w:rsidRDefault="00AD2275" w:rsidP="00AD2275">
      <w:r w:rsidRPr="00AD2275">
        <w:t xml:space="preserve">Fonction publique hospitalière : </w:t>
      </w:r>
      <w:r>
        <w:t>6 086 recrutements</w:t>
      </w:r>
    </w:p>
    <w:p w14:paraId="698E55A7" w14:textId="2EE66FF7" w:rsidR="00AD2275" w:rsidRDefault="00AD2275" w:rsidP="00AD2275">
      <w:r w:rsidRPr="00AD2275">
        <w:t xml:space="preserve">Fonction publique territoriale : </w:t>
      </w:r>
      <w:r>
        <w:t xml:space="preserve">17 187 recrutements </w:t>
      </w:r>
    </w:p>
    <w:p w14:paraId="1478DD62" w14:textId="2271F714" w:rsidR="00AD2275" w:rsidRDefault="00AD2275" w:rsidP="00AD2275">
      <w:r>
        <w:t>Total : 27 128 recrutements</w:t>
      </w:r>
    </w:p>
    <w:p w14:paraId="5A89E229" w14:textId="77777777" w:rsidR="00AD2275" w:rsidRDefault="00AD2275" w:rsidP="00AD2275"/>
    <w:p w14:paraId="41EB60F6" w14:textId="7D077CFD" w:rsidR="00AD2275" w:rsidRPr="00AD2275" w:rsidRDefault="00AD2275" w:rsidP="00AD2275">
      <w:pPr>
        <w:rPr>
          <w:b/>
        </w:rPr>
      </w:pPr>
      <w:r>
        <w:rPr>
          <w:b/>
        </w:rPr>
        <w:t>Déclarations 2017</w:t>
      </w:r>
    </w:p>
    <w:p w14:paraId="7DF39BD9" w14:textId="4404DF45" w:rsidR="00AD2275" w:rsidRPr="00AD2275" w:rsidRDefault="00AD2275" w:rsidP="00AD2275">
      <w:pPr>
        <w:rPr>
          <w:color w:val="000000" w:themeColor="text1"/>
        </w:rPr>
      </w:pPr>
      <w:r w:rsidRPr="00AD2275">
        <w:rPr>
          <w:color w:val="000000" w:themeColor="text1"/>
        </w:rPr>
        <w:t xml:space="preserve">Fonction publique d’État : </w:t>
      </w:r>
      <w:r>
        <w:rPr>
          <w:color w:val="000000" w:themeColor="text1"/>
        </w:rPr>
        <w:t>3 527 recrutements</w:t>
      </w:r>
    </w:p>
    <w:p w14:paraId="05AED5E9" w14:textId="428B6786" w:rsidR="00AD2275" w:rsidRPr="00AD2275" w:rsidRDefault="00AD2275" w:rsidP="00AD2275">
      <w:r w:rsidRPr="00AD2275">
        <w:t xml:space="preserve">Fonction publique hospitalière : </w:t>
      </w:r>
      <w:r>
        <w:t>6 691 recrutements</w:t>
      </w:r>
    </w:p>
    <w:p w14:paraId="1F510BB6" w14:textId="28607843" w:rsidR="00AD2275" w:rsidRDefault="00AD2275" w:rsidP="00AD2275">
      <w:r w:rsidRPr="00AD2275">
        <w:t xml:space="preserve">Fonction publique territoriale : </w:t>
      </w:r>
      <w:r>
        <w:t xml:space="preserve">18 044 recrutements </w:t>
      </w:r>
    </w:p>
    <w:p w14:paraId="033B0436" w14:textId="25E2B9E3" w:rsidR="00AD2275" w:rsidRPr="00AD2275" w:rsidRDefault="00AD2275" w:rsidP="00AD2275">
      <w:r>
        <w:t>Total : 28 262 recrutements</w:t>
      </w:r>
    </w:p>
    <w:p w14:paraId="76B6125D" w14:textId="77777777" w:rsidR="00AD2275" w:rsidRDefault="00AD2275" w:rsidP="00AD2275"/>
    <w:p w14:paraId="7CF9C7BF" w14:textId="77777777" w:rsidR="00AD2275" w:rsidRPr="00AD2275" w:rsidRDefault="00AD2275" w:rsidP="00AD2275">
      <w:pPr>
        <w:pStyle w:val="Titre1"/>
        <w:rPr>
          <w:color w:val="4BACC6" w:themeColor="accent5"/>
        </w:rPr>
      </w:pPr>
      <w:r w:rsidRPr="00AD2275">
        <w:rPr>
          <w:color w:val="4BACC6" w:themeColor="accent5"/>
        </w:rPr>
        <w:t>LES MAINTIENS DANS L’EMPLOI SE STABILISENT</w:t>
      </w:r>
    </w:p>
    <w:p w14:paraId="7B3C7DDC" w14:textId="1570DF21" w:rsidR="00AD2275" w:rsidRPr="00AD2275" w:rsidRDefault="00AD2275" w:rsidP="00AD2275">
      <w:pPr>
        <w:pStyle w:val="Titre1"/>
        <w:rPr>
          <w:color w:val="4BACC6" w:themeColor="accent5"/>
        </w:rPr>
      </w:pPr>
      <w:r w:rsidRPr="00AD2275">
        <w:rPr>
          <w:color w:val="4BACC6" w:themeColor="accent5"/>
          <w:sz w:val="21"/>
          <w:szCs w:val="21"/>
        </w:rPr>
        <w:t>Évolution du nombre de maintiens dans l’emploi total et par fonction publique</w:t>
      </w:r>
    </w:p>
    <w:p w14:paraId="64611711" w14:textId="77777777" w:rsidR="00AD2275" w:rsidRPr="00AD2275" w:rsidRDefault="00AD2275" w:rsidP="00AD2275"/>
    <w:p w14:paraId="3FC8DDF1" w14:textId="77777777" w:rsidR="00AD2275" w:rsidRPr="00AD2275" w:rsidRDefault="00AD2275" w:rsidP="00AD2275">
      <w:pPr>
        <w:rPr>
          <w:b/>
        </w:rPr>
      </w:pPr>
      <w:r w:rsidRPr="00AD2275">
        <w:rPr>
          <w:b/>
        </w:rPr>
        <w:t>Déclarations 2015</w:t>
      </w:r>
    </w:p>
    <w:p w14:paraId="17F73F45" w14:textId="4AA4FB72" w:rsidR="00AD2275" w:rsidRPr="00AD2275" w:rsidRDefault="00AD2275" w:rsidP="00AD2275">
      <w:r w:rsidRPr="00AD2275">
        <w:t>Fonction publique d’État : 1</w:t>
      </w:r>
      <w:r>
        <w:t xml:space="preserve"> </w:t>
      </w:r>
      <w:r w:rsidRPr="00AD2275">
        <w:t>508 maintiens dans l’emploi</w:t>
      </w:r>
    </w:p>
    <w:p w14:paraId="0A62C755" w14:textId="364F1BDB" w:rsidR="00AD2275" w:rsidRPr="00AD2275" w:rsidRDefault="00AD2275" w:rsidP="00AD2275">
      <w:r w:rsidRPr="00AD2275">
        <w:t>Fonction publique hospitalière : 5</w:t>
      </w:r>
      <w:r>
        <w:t xml:space="preserve"> </w:t>
      </w:r>
      <w:r w:rsidRPr="00AD2275">
        <w:t xml:space="preserve">558 maintiens dans l’emploi </w:t>
      </w:r>
    </w:p>
    <w:p w14:paraId="777C669A" w14:textId="13EC796D" w:rsidR="00AD2275" w:rsidRPr="00AD2275" w:rsidRDefault="00AD2275" w:rsidP="00AD2275">
      <w:r w:rsidRPr="00AD2275">
        <w:t>Fonction publique territoriale : 8</w:t>
      </w:r>
      <w:r>
        <w:t xml:space="preserve"> </w:t>
      </w:r>
      <w:r w:rsidRPr="00AD2275">
        <w:t xml:space="preserve">683 maintiens dans l’emploi </w:t>
      </w:r>
    </w:p>
    <w:p w14:paraId="0942EA85" w14:textId="71FB0E68" w:rsidR="00AD2275" w:rsidRPr="00AD2275" w:rsidRDefault="00AD2275" w:rsidP="00AD2275">
      <w:r w:rsidRPr="00AD2275">
        <w:t>Total : 15</w:t>
      </w:r>
      <w:r>
        <w:t xml:space="preserve"> </w:t>
      </w:r>
      <w:r w:rsidRPr="00AD2275">
        <w:t>749 maintiens dans l’emploi</w:t>
      </w:r>
    </w:p>
    <w:p w14:paraId="672B94CE" w14:textId="77777777" w:rsidR="00AD2275" w:rsidRDefault="00AD2275" w:rsidP="00AD2275"/>
    <w:p w14:paraId="0DF88E49" w14:textId="77777777" w:rsidR="00AD2275" w:rsidRPr="00AD2275" w:rsidRDefault="00AD2275" w:rsidP="00AD2275">
      <w:pPr>
        <w:rPr>
          <w:b/>
        </w:rPr>
      </w:pPr>
      <w:r>
        <w:rPr>
          <w:b/>
        </w:rPr>
        <w:t>Déclarations 2016</w:t>
      </w:r>
    </w:p>
    <w:p w14:paraId="13774C22" w14:textId="47649462" w:rsidR="00AD2275" w:rsidRPr="00AD2275" w:rsidRDefault="00AD2275" w:rsidP="00AD2275">
      <w:r w:rsidRPr="00AD2275">
        <w:t>Fonction publique d’État : 2</w:t>
      </w:r>
      <w:r>
        <w:t xml:space="preserve"> </w:t>
      </w:r>
      <w:r w:rsidRPr="00AD2275">
        <w:t>706 maintiens dans l’emploi</w:t>
      </w:r>
    </w:p>
    <w:p w14:paraId="62B05E03" w14:textId="789D3CF4" w:rsidR="00AD2275" w:rsidRPr="00AD2275" w:rsidRDefault="00AD2275" w:rsidP="00AD2275">
      <w:r w:rsidRPr="00AD2275">
        <w:t>Fonction publique hospitalière : 5</w:t>
      </w:r>
      <w:r>
        <w:t xml:space="preserve"> </w:t>
      </w:r>
      <w:r w:rsidRPr="00AD2275">
        <w:t>784 maintiens dans l’emploi</w:t>
      </w:r>
    </w:p>
    <w:p w14:paraId="231372A2" w14:textId="4338562D" w:rsidR="00AD2275" w:rsidRPr="00AD2275" w:rsidRDefault="00AD2275" w:rsidP="00AD2275">
      <w:r w:rsidRPr="00AD2275">
        <w:t>Fonction publique territoriale : 8</w:t>
      </w:r>
      <w:r>
        <w:t xml:space="preserve"> </w:t>
      </w:r>
      <w:r w:rsidRPr="00AD2275">
        <w:t xml:space="preserve">374 maintiens dans l’emploi </w:t>
      </w:r>
    </w:p>
    <w:p w14:paraId="3C2166A7" w14:textId="634EC7CC" w:rsidR="00AD2275" w:rsidRPr="00AD2275" w:rsidRDefault="00AD2275" w:rsidP="00AD2275">
      <w:r w:rsidRPr="00AD2275">
        <w:t>Total : 16</w:t>
      </w:r>
      <w:r>
        <w:t xml:space="preserve"> </w:t>
      </w:r>
      <w:r w:rsidRPr="00AD2275">
        <w:t>864 maintiens dans l’emploi</w:t>
      </w:r>
    </w:p>
    <w:p w14:paraId="686BD82D" w14:textId="77777777" w:rsidR="00AD2275" w:rsidRDefault="00AD2275" w:rsidP="00AD2275"/>
    <w:p w14:paraId="0C512971" w14:textId="77777777" w:rsidR="00AD2275" w:rsidRPr="00AD2275" w:rsidRDefault="00AD2275" w:rsidP="00AD2275">
      <w:pPr>
        <w:rPr>
          <w:b/>
        </w:rPr>
      </w:pPr>
      <w:r>
        <w:rPr>
          <w:b/>
        </w:rPr>
        <w:t>Déclarations 2017</w:t>
      </w:r>
    </w:p>
    <w:p w14:paraId="20AF8787" w14:textId="6053D9F0" w:rsidR="00AD2275" w:rsidRPr="00AD2275" w:rsidRDefault="00AD2275" w:rsidP="00AD2275">
      <w:r w:rsidRPr="00AD2275">
        <w:t>Fonction publique d’État : 2</w:t>
      </w:r>
      <w:r>
        <w:t xml:space="preserve"> </w:t>
      </w:r>
      <w:r w:rsidRPr="00AD2275">
        <w:t>430 maintiens dans l’emploi</w:t>
      </w:r>
    </w:p>
    <w:p w14:paraId="08EF17B8" w14:textId="0BDCBD8F" w:rsidR="00AD2275" w:rsidRPr="00AD2275" w:rsidRDefault="00AD2275" w:rsidP="00AD2275">
      <w:r w:rsidRPr="00AD2275">
        <w:t>Fonction publique hospitalière : 6</w:t>
      </w:r>
      <w:r>
        <w:t xml:space="preserve"> </w:t>
      </w:r>
      <w:r w:rsidRPr="00AD2275">
        <w:t>340 maintiens dans l’emploi</w:t>
      </w:r>
    </w:p>
    <w:p w14:paraId="576DA0DE" w14:textId="2E60C39C" w:rsidR="00AD2275" w:rsidRPr="00AD2275" w:rsidRDefault="00AD2275" w:rsidP="00AD2275">
      <w:r w:rsidRPr="00AD2275">
        <w:t>Fonction publique territoriale : 7</w:t>
      </w:r>
      <w:r>
        <w:t xml:space="preserve"> </w:t>
      </w:r>
      <w:r w:rsidRPr="00AD2275">
        <w:t>805 maintiens dans l’emploi</w:t>
      </w:r>
    </w:p>
    <w:p w14:paraId="6BA267D4" w14:textId="70D95DF7" w:rsidR="00752E1E" w:rsidRPr="00BF7D95" w:rsidRDefault="00AD2275" w:rsidP="00BF7D95">
      <w:r w:rsidRPr="00AD2275">
        <w:t>Total : 16</w:t>
      </w:r>
      <w:r>
        <w:t> </w:t>
      </w:r>
      <w:r w:rsidRPr="00AD2275">
        <w:t>575</w:t>
      </w:r>
      <w:r>
        <w:t xml:space="preserve"> </w:t>
      </w:r>
      <w:r w:rsidRPr="00AD2275">
        <w:t>maintiens dans l’emploi</w:t>
      </w:r>
      <w:r w:rsidR="00752E1E">
        <w:rPr>
          <w:b/>
          <w:sz w:val="28"/>
        </w:rPr>
        <w:br w:type="page"/>
      </w:r>
    </w:p>
    <w:p w14:paraId="1A98C469" w14:textId="23360D21" w:rsidR="00F6227F" w:rsidRPr="00F6227F" w:rsidRDefault="00F6227F" w:rsidP="00F6227F">
      <w:pPr>
        <w:pStyle w:val="Titre"/>
        <w:rPr>
          <w:b/>
          <w:sz w:val="28"/>
        </w:rPr>
      </w:pPr>
      <w:r w:rsidRPr="00F6227F">
        <w:rPr>
          <w:b/>
          <w:sz w:val="28"/>
        </w:rPr>
        <w:lastRenderedPageBreak/>
        <w:t>DES RÉSULTATS EN PROGRESSION</w:t>
      </w:r>
      <w:r>
        <w:rPr>
          <w:b/>
          <w:sz w:val="28"/>
        </w:rPr>
        <w:t xml:space="preserve"> </w:t>
      </w:r>
      <w:r w:rsidRPr="00F6227F">
        <w:rPr>
          <w:b/>
          <w:sz w:val="28"/>
        </w:rPr>
        <w:t>CONSTANTE SUR LES 5 MISSIONS DU FIPHFP</w:t>
      </w:r>
    </w:p>
    <w:p w14:paraId="4B75D09D" w14:textId="77777777" w:rsidR="00F6227F" w:rsidRPr="00F6227F" w:rsidRDefault="00F6227F" w:rsidP="00F6227F"/>
    <w:p w14:paraId="17B20D3B" w14:textId="3D9256B2" w:rsidR="00F6227F" w:rsidRPr="00F6227F" w:rsidRDefault="00AA653E" w:rsidP="00F6227F">
      <w:pPr>
        <w:pStyle w:val="Titre1"/>
        <w:jc w:val="left"/>
      </w:pPr>
      <w:r w:rsidRPr="00F6227F">
        <w:t xml:space="preserve">L’accessibilité numérique, une priorité du </w:t>
      </w:r>
      <w:r>
        <w:t>FIPHFP</w:t>
      </w:r>
      <w:r w:rsidRPr="00F6227F">
        <w:t xml:space="preserve"> pour</w:t>
      </w:r>
      <w:r w:rsidR="00F6227F">
        <w:t xml:space="preserve"> </w:t>
      </w:r>
      <w:r>
        <w:t xml:space="preserve">les </w:t>
      </w:r>
      <w:r w:rsidRPr="00F6227F">
        <w:t>prochaines années</w:t>
      </w:r>
    </w:p>
    <w:p w14:paraId="54E74F2F" w14:textId="77777777" w:rsidR="00F6227F" w:rsidRPr="00F6227F" w:rsidRDefault="00F6227F" w:rsidP="00F6227F"/>
    <w:p w14:paraId="132F808F" w14:textId="086CA96A" w:rsidR="00F6227F" w:rsidRPr="00F6227F" w:rsidRDefault="00F6227F" w:rsidP="00F6227F">
      <w:r w:rsidRPr="00F6227F">
        <w:rPr>
          <w:b/>
        </w:rPr>
        <w:t>7,95 millions d’euros</w:t>
      </w:r>
      <w:r w:rsidRPr="00F6227F">
        <w:t> : C’est le montant total des financements versés dans le cadre du programme accessibilité en 2017. Soit une baisse de 40 % par rapport à 2016.</w:t>
      </w:r>
    </w:p>
    <w:p w14:paraId="2C5BDEE1" w14:textId="77777777" w:rsidR="00F6227F" w:rsidRDefault="00F6227F" w:rsidP="00F6227F"/>
    <w:p w14:paraId="5262E461" w14:textId="5A5B5990" w:rsidR="00F6227F" w:rsidRDefault="00F6227F" w:rsidP="00F6227F">
      <w:pPr>
        <w:rPr>
          <w:b/>
        </w:rPr>
      </w:pPr>
      <w:r w:rsidRPr="00F6227F">
        <w:rPr>
          <w:b/>
        </w:rPr>
        <w:t>Programme accessibilité</w:t>
      </w:r>
      <w:r>
        <w:rPr>
          <w:b/>
        </w:rPr>
        <w:t xml:space="preserve">, </w:t>
      </w:r>
      <w:r w:rsidRPr="00F6227F">
        <w:rPr>
          <w:b/>
        </w:rPr>
        <w:t>répartition des financements versés</w:t>
      </w:r>
      <w:r>
        <w:rPr>
          <w:b/>
        </w:rPr>
        <w:t> :</w:t>
      </w:r>
    </w:p>
    <w:p w14:paraId="34786D60" w14:textId="5E3947B7" w:rsidR="00F6227F" w:rsidRPr="00752E1E" w:rsidRDefault="00F6227F" w:rsidP="00752E1E">
      <w:pPr>
        <w:pStyle w:val="Paragraphedeliste"/>
        <w:numPr>
          <w:ilvl w:val="0"/>
          <w:numId w:val="15"/>
        </w:numPr>
        <w:rPr>
          <w:b/>
        </w:rPr>
      </w:pPr>
      <w:r w:rsidRPr="00F6227F">
        <w:t>Locau</w:t>
      </w:r>
      <w:r>
        <w:t xml:space="preserve">x professionnels : </w:t>
      </w:r>
      <w:r w:rsidRPr="00752E1E">
        <w:rPr>
          <w:b/>
        </w:rPr>
        <w:t>91 %</w:t>
      </w:r>
    </w:p>
    <w:p w14:paraId="40EE64E1" w14:textId="3B92F88D" w:rsidR="00F6227F" w:rsidRDefault="00F6227F" w:rsidP="00752E1E">
      <w:pPr>
        <w:pStyle w:val="Paragraphedeliste"/>
        <w:numPr>
          <w:ilvl w:val="0"/>
          <w:numId w:val="15"/>
        </w:numPr>
      </w:pPr>
      <w:r>
        <w:t xml:space="preserve">Numérique : </w:t>
      </w:r>
      <w:r w:rsidRPr="00752E1E">
        <w:rPr>
          <w:b/>
        </w:rPr>
        <w:t>7 %</w:t>
      </w:r>
    </w:p>
    <w:p w14:paraId="5550D5E3" w14:textId="0306FBAC" w:rsidR="00F6227F" w:rsidRDefault="00F6227F" w:rsidP="00752E1E">
      <w:pPr>
        <w:pStyle w:val="Paragraphedeliste"/>
        <w:numPr>
          <w:ilvl w:val="0"/>
          <w:numId w:val="15"/>
        </w:numPr>
      </w:pPr>
      <w:r>
        <w:t xml:space="preserve">Écoles du service public : </w:t>
      </w:r>
      <w:r w:rsidRPr="00752E1E">
        <w:rPr>
          <w:b/>
        </w:rPr>
        <w:t>2 %</w:t>
      </w:r>
    </w:p>
    <w:p w14:paraId="1AB6D65B" w14:textId="77777777" w:rsidR="00F6227F" w:rsidRPr="00F6227F" w:rsidRDefault="00F6227F" w:rsidP="00F6227F"/>
    <w:p w14:paraId="07BA64C5" w14:textId="405A4E30" w:rsidR="00F6227F" w:rsidRDefault="00F6227F" w:rsidP="00F6227F">
      <w:r w:rsidRPr="00F6227F">
        <w:rPr>
          <w:b/>
        </w:rPr>
        <w:t>544 000 euros</w:t>
      </w:r>
      <w:r w:rsidRPr="00F6227F">
        <w:t xml:space="preserve"> ont été financés</w:t>
      </w:r>
      <w:r>
        <w:t xml:space="preserve"> </w:t>
      </w:r>
      <w:r w:rsidRPr="00F6227F">
        <w:t xml:space="preserve">pour l’accessibilité numérique </w:t>
      </w:r>
      <w:r>
        <w:t xml:space="preserve">en 2017. </w:t>
      </w:r>
      <w:r w:rsidRPr="00F6227F">
        <w:t xml:space="preserve">Un </w:t>
      </w:r>
      <w:r>
        <w:t xml:space="preserve">chiffre amené à se développer dans les années à </w:t>
      </w:r>
      <w:r w:rsidRPr="00F6227F">
        <w:t>venir.</w:t>
      </w:r>
    </w:p>
    <w:p w14:paraId="63766971" w14:textId="77777777" w:rsidR="00F6227F" w:rsidRDefault="00F6227F" w:rsidP="00F6227F"/>
    <w:p w14:paraId="50B8045E" w14:textId="5BA4A473" w:rsidR="00F6227F" w:rsidRPr="00F6227F" w:rsidRDefault="00F6227F" w:rsidP="00F6227F">
      <w:r w:rsidRPr="00C7150B">
        <w:rPr>
          <w:b/>
        </w:rPr>
        <w:t>FOCUS</w:t>
      </w:r>
      <w:r w:rsidRPr="00F6227F">
        <w:t xml:space="preserve"> : Depuis le 1</w:t>
      </w:r>
      <w:r w:rsidRPr="00F6227F">
        <w:rPr>
          <w:vertAlign w:val="superscript"/>
        </w:rPr>
        <w:t>er</w:t>
      </w:r>
      <w:r>
        <w:t xml:space="preserve"> janvier 2018, l’accessibilité </w:t>
      </w:r>
      <w:proofErr w:type="spellStart"/>
      <w:r>
        <w:t>bâtimentaire</w:t>
      </w:r>
      <w:proofErr w:type="spellEnd"/>
      <w:r>
        <w:t xml:space="preserve"> n’est plus financée par le FIPHFP à l’exception des projets relatifs aux écoles du </w:t>
      </w:r>
      <w:r w:rsidRPr="00F6227F">
        <w:t>service public.</w:t>
      </w:r>
    </w:p>
    <w:p w14:paraId="442070D8" w14:textId="77777777" w:rsidR="00F6227F" w:rsidRDefault="00F6227F" w:rsidP="00F6227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</w:rPr>
      </w:pPr>
    </w:p>
    <w:p w14:paraId="6A61DF95" w14:textId="07881D3A" w:rsidR="00F6227F" w:rsidRPr="00F6227F" w:rsidRDefault="00AA653E" w:rsidP="00F6227F">
      <w:pPr>
        <w:autoSpaceDE w:val="0"/>
        <w:autoSpaceDN w:val="0"/>
        <w:adjustRightInd w:val="0"/>
        <w:jc w:val="left"/>
        <w:rPr>
          <w:rFonts w:eastAsiaTheme="majorEastAsia" w:cstheme="majorBidi"/>
          <w:color w:val="45B2C8"/>
          <w:sz w:val="24"/>
          <w:szCs w:val="32"/>
        </w:rPr>
      </w:pPr>
      <w:r w:rsidRPr="00F6227F">
        <w:rPr>
          <w:rFonts w:eastAsiaTheme="majorEastAsia" w:cstheme="majorBidi"/>
          <w:color w:val="45B2C8"/>
          <w:sz w:val="24"/>
          <w:szCs w:val="32"/>
        </w:rPr>
        <w:t>L’apprentissage, un dispositif majeur d’accès à</w:t>
      </w:r>
      <w:r w:rsidR="00F6227F">
        <w:rPr>
          <w:rFonts w:eastAsiaTheme="majorEastAsia" w:cstheme="majorBidi"/>
          <w:color w:val="45B2C8"/>
          <w:sz w:val="24"/>
          <w:szCs w:val="32"/>
        </w:rPr>
        <w:t xml:space="preserve"> </w:t>
      </w:r>
      <w:r>
        <w:rPr>
          <w:rFonts w:eastAsiaTheme="majorEastAsia" w:cstheme="majorBidi"/>
          <w:color w:val="45B2C8"/>
          <w:sz w:val="24"/>
          <w:szCs w:val="32"/>
        </w:rPr>
        <w:t>l’emploi dans la F</w:t>
      </w:r>
      <w:r w:rsidRPr="00F6227F">
        <w:rPr>
          <w:rFonts w:eastAsiaTheme="majorEastAsia" w:cstheme="majorBidi"/>
          <w:color w:val="45B2C8"/>
          <w:sz w:val="24"/>
          <w:szCs w:val="32"/>
        </w:rPr>
        <w:t>onction publique</w:t>
      </w:r>
    </w:p>
    <w:p w14:paraId="39E3AFB4" w14:textId="36E0459D" w:rsidR="002D268E" w:rsidRPr="00752E1E" w:rsidRDefault="002D268E" w:rsidP="00752E1E"/>
    <w:p w14:paraId="782D7B29" w14:textId="672BF1D1" w:rsidR="00752E1E" w:rsidRDefault="00752E1E" w:rsidP="00752E1E">
      <w:r w:rsidRPr="00752E1E">
        <w:rPr>
          <w:b/>
        </w:rPr>
        <w:t>4,6 %</w:t>
      </w:r>
      <w:r>
        <w:t xml:space="preserve"> des apprentis de la </w:t>
      </w:r>
      <w:r w:rsidRPr="00752E1E">
        <w:t xml:space="preserve">Fonction publique </w:t>
      </w:r>
      <w:r>
        <w:t xml:space="preserve">sont en situation de </w:t>
      </w:r>
      <w:r w:rsidRPr="00752E1E">
        <w:t>han</w:t>
      </w:r>
      <w:r>
        <w:t>dicap.</w:t>
      </w:r>
    </w:p>
    <w:p w14:paraId="2A8E09D9" w14:textId="593798EB" w:rsidR="00752E1E" w:rsidRDefault="00752E1E" w:rsidP="00752E1E">
      <w:r w:rsidRPr="00752E1E">
        <w:rPr>
          <w:b/>
        </w:rPr>
        <w:t>1000</w:t>
      </w:r>
      <w:r w:rsidRPr="00752E1E">
        <w:t xml:space="preserve"> apprentis </w:t>
      </w:r>
      <w:r>
        <w:t>sont</w:t>
      </w:r>
      <w:r w:rsidRPr="00752E1E">
        <w:t xml:space="preserve"> aidés</w:t>
      </w:r>
      <w:r>
        <w:t xml:space="preserve"> </w:t>
      </w:r>
      <w:r w:rsidRPr="00752E1E">
        <w:t>par le FIPHFP chaque année</w:t>
      </w:r>
      <w:r>
        <w:t>.</w:t>
      </w:r>
    </w:p>
    <w:p w14:paraId="1BE8C4AE" w14:textId="3A91169C" w:rsidR="00752E1E" w:rsidRDefault="00752E1E" w:rsidP="00752E1E">
      <w:r>
        <w:rPr>
          <w:b/>
        </w:rPr>
        <w:t>1/</w:t>
      </w:r>
      <w:r w:rsidRPr="00752E1E">
        <w:rPr>
          <w:b/>
        </w:rPr>
        <w:t>3</w:t>
      </w:r>
      <w:r w:rsidRPr="00752E1E">
        <w:t xml:space="preserve"> des apprentis sont</w:t>
      </w:r>
      <w:r>
        <w:t xml:space="preserve"> </w:t>
      </w:r>
      <w:r w:rsidRPr="00752E1E">
        <w:t>recrutés à l’issue de leur</w:t>
      </w:r>
      <w:r>
        <w:t xml:space="preserve"> </w:t>
      </w:r>
      <w:r w:rsidRPr="00752E1E">
        <w:t>contrat d’apprentissage.</w:t>
      </w:r>
    </w:p>
    <w:p w14:paraId="6B1D2002" w14:textId="77777777" w:rsidR="00752E1E" w:rsidRDefault="00752E1E" w:rsidP="00752E1E"/>
    <w:p w14:paraId="5C28E683" w14:textId="12C32D3A" w:rsidR="00752E1E" w:rsidRPr="00752E1E" w:rsidRDefault="00752E1E" w:rsidP="00752E1E">
      <w:pPr>
        <w:rPr>
          <w:sz w:val="18"/>
        </w:rPr>
      </w:pPr>
      <w:r w:rsidRPr="00752E1E">
        <w:rPr>
          <w:sz w:val="18"/>
        </w:rPr>
        <w:t>Source : DGAFP</w:t>
      </w:r>
    </w:p>
    <w:p w14:paraId="5761D58D" w14:textId="77777777" w:rsidR="00752E1E" w:rsidRDefault="00752E1E" w:rsidP="00752E1E"/>
    <w:p w14:paraId="4D24F1D8" w14:textId="295D419B" w:rsidR="00752E1E" w:rsidRPr="00752E1E" w:rsidRDefault="00752E1E" w:rsidP="00752E1E">
      <w:pPr>
        <w:rPr>
          <w:b/>
        </w:rPr>
      </w:pPr>
      <w:r w:rsidRPr="00752E1E">
        <w:rPr>
          <w:b/>
        </w:rPr>
        <w:t>Part des travailleurs handicapés parmi les apprentis par fonction publique :</w:t>
      </w:r>
    </w:p>
    <w:p w14:paraId="1D5EDA24" w14:textId="04F02519" w:rsidR="00752E1E" w:rsidRPr="00752E1E" w:rsidRDefault="00752E1E" w:rsidP="00752E1E">
      <w:r w:rsidRPr="00752E1E">
        <w:rPr>
          <w:b/>
        </w:rPr>
        <w:t>9,9 %</w:t>
      </w:r>
      <w:r w:rsidRPr="00752E1E">
        <w:t xml:space="preserve"> </w:t>
      </w:r>
      <w:r>
        <w:t>dans la f</w:t>
      </w:r>
      <w:r w:rsidRPr="00752E1E">
        <w:t>onction publique hospitalière</w:t>
      </w:r>
    </w:p>
    <w:p w14:paraId="5AE3556B" w14:textId="7D9DD6BD" w:rsidR="00752E1E" w:rsidRPr="00752E1E" w:rsidRDefault="00752E1E" w:rsidP="00752E1E">
      <w:r w:rsidRPr="00752E1E">
        <w:rPr>
          <w:b/>
        </w:rPr>
        <w:t>5,5 %</w:t>
      </w:r>
      <w:r w:rsidRPr="00752E1E">
        <w:t xml:space="preserve"> </w:t>
      </w:r>
      <w:r>
        <w:t>dans la f</w:t>
      </w:r>
      <w:r w:rsidRPr="00752E1E">
        <w:t>onction publique territoriale</w:t>
      </w:r>
    </w:p>
    <w:p w14:paraId="5F4A608E" w14:textId="74AE640E" w:rsidR="00752E1E" w:rsidRDefault="00752E1E" w:rsidP="00752E1E">
      <w:r w:rsidRPr="00752E1E">
        <w:rPr>
          <w:b/>
        </w:rPr>
        <w:t>3 %</w:t>
      </w:r>
      <w:r w:rsidRPr="00752E1E">
        <w:t xml:space="preserve"> </w:t>
      </w:r>
      <w:r>
        <w:t>dans la f</w:t>
      </w:r>
      <w:r w:rsidRPr="00752E1E">
        <w:t>onction publique de l’État</w:t>
      </w:r>
    </w:p>
    <w:p w14:paraId="61417108" w14:textId="77777777" w:rsidR="00752E1E" w:rsidRDefault="00752E1E" w:rsidP="00752E1E"/>
    <w:p w14:paraId="269A3B2A" w14:textId="460EA92F" w:rsidR="00752E1E" w:rsidRDefault="00752E1E" w:rsidP="00752E1E">
      <w:r w:rsidRPr="00752E1E">
        <w:t>FOCUS : Sous l’impulsion</w:t>
      </w:r>
      <w:r>
        <w:t xml:space="preserve"> des pouvoirs publics, le FIPHFP souhaite renforcer l’apprentissage comme dispositif d’accès et de pérennisation dans l’emploi dans les années à </w:t>
      </w:r>
      <w:r w:rsidRPr="00752E1E">
        <w:t>venir.</w:t>
      </w:r>
    </w:p>
    <w:p w14:paraId="3B7D535B" w14:textId="77777777" w:rsidR="00752E1E" w:rsidRDefault="00752E1E" w:rsidP="00752E1E"/>
    <w:p w14:paraId="51F39762" w14:textId="47B47E6E" w:rsidR="000B6130" w:rsidRDefault="000B6130" w:rsidP="00752E1E">
      <w:pPr>
        <w:pStyle w:val="Titre1"/>
        <w:rPr>
          <w:color w:val="4BACC6" w:themeColor="accent5"/>
        </w:rPr>
      </w:pPr>
      <w:r w:rsidRPr="000B6130">
        <w:rPr>
          <w:color w:val="4BACC6" w:themeColor="accent5"/>
        </w:rPr>
        <w:t xml:space="preserve">La formation, un enjeu majeur pour le </w:t>
      </w:r>
      <w:r>
        <w:rPr>
          <w:color w:val="4BACC6" w:themeColor="accent5"/>
        </w:rPr>
        <w:t>FIPHFP</w:t>
      </w:r>
    </w:p>
    <w:p w14:paraId="726315A7" w14:textId="5E42A3BF" w:rsidR="000B6130" w:rsidRDefault="000B6130" w:rsidP="000B6130"/>
    <w:p w14:paraId="3D90CECC" w14:textId="01C89FCB" w:rsidR="00752E1E" w:rsidRDefault="000B6130" w:rsidP="000B6130">
      <w:r w:rsidRPr="000B6130">
        <w:rPr>
          <w:b/>
        </w:rPr>
        <w:t>9,46 millions d’euros</w:t>
      </w:r>
      <w:r>
        <w:t xml:space="preserve"> : C’est le montant total des financements dédiés à la formation </w:t>
      </w:r>
      <w:r w:rsidRPr="000B6130">
        <w:t>en 2017</w:t>
      </w:r>
      <w:r>
        <w:t>.</w:t>
      </w:r>
    </w:p>
    <w:p w14:paraId="08A6EED0" w14:textId="77777777" w:rsidR="000B6130" w:rsidRDefault="000B6130" w:rsidP="000B6130"/>
    <w:p w14:paraId="05C20BDB" w14:textId="77777777" w:rsidR="000B6130" w:rsidRDefault="000B6130" w:rsidP="000B6130">
      <w:r w:rsidRPr="000B6130">
        <w:rPr>
          <w:b/>
        </w:rPr>
        <w:t>4,44 millions d’euros</w:t>
      </w:r>
      <w:r w:rsidRPr="000B6130">
        <w:t xml:space="preserve"> d’aides directes en faveur de</w:t>
      </w:r>
      <w:r>
        <w:t xml:space="preserve"> </w:t>
      </w:r>
      <w:r w:rsidRPr="000B6130">
        <w:t>la formation (formation des personnes en relat</w:t>
      </w:r>
      <w:r>
        <w:t xml:space="preserve">ion </w:t>
      </w:r>
      <w:r w:rsidRPr="000B6130">
        <w:t>avec les agen</w:t>
      </w:r>
      <w:r>
        <w:t xml:space="preserve">ts, communication, information, </w:t>
      </w:r>
      <w:r w:rsidRPr="000B6130">
        <w:t>s</w:t>
      </w:r>
      <w:r>
        <w:t xml:space="preserve">ensibilisation, apprentissage). </w:t>
      </w:r>
    </w:p>
    <w:p w14:paraId="36599B44" w14:textId="77777777" w:rsidR="000B6130" w:rsidRDefault="000B6130" w:rsidP="000B6130"/>
    <w:p w14:paraId="072460A9" w14:textId="798CFE65" w:rsidR="000B6130" w:rsidRDefault="000B6130" w:rsidP="000B6130">
      <w:r w:rsidRPr="000B6130">
        <w:rPr>
          <w:b/>
        </w:rPr>
        <w:t>5,02 millions d’euros</w:t>
      </w:r>
      <w:r w:rsidRPr="000B6130">
        <w:t xml:space="preserve"> </w:t>
      </w:r>
      <w:r>
        <w:t xml:space="preserve">sont </w:t>
      </w:r>
      <w:r w:rsidRPr="000B6130">
        <w:t>financés de manière indirecte</w:t>
      </w:r>
      <w:r>
        <w:t xml:space="preserve"> </w:t>
      </w:r>
      <w:r w:rsidRPr="000B6130">
        <w:t>par le FIPHFP à travers les partenariats avec</w:t>
      </w:r>
      <w:r>
        <w:t xml:space="preserve"> </w:t>
      </w:r>
      <w:r w:rsidRPr="000B6130">
        <w:t>l’</w:t>
      </w:r>
      <w:proofErr w:type="spellStart"/>
      <w:r w:rsidRPr="000B6130">
        <w:t>Agefiph</w:t>
      </w:r>
      <w:proofErr w:type="spellEnd"/>
      <w:r w:rsidRPr="000B6130">
        <w:t xml:space="preserve"> et le CNFPT.</w:t>
      </w:r>
    </w:p>
    <w:p w14:paraId="3108569D" w14:textId="77777777" w:rsidR="000B6130" w:rsidRDefault="000B6130" w:rsidP="000B6130"/>
    <w:p w14:paraId="27EF8A7F" w14:textId="0FF69B83" w:rsidR="000B6130" w:rsidRDefault="000B6130" w:rsidP="000B6130">
      <w:r>
        <w:t xml:space="preserve">FOCUS : </w:t>
      </w:r>
      <w:r w:rsidRPr="000B6130">
        <w:t>Les dépenses</w:t>
      </w:r>
      <w:r>
        <w:t xml:space="preserve"> </w:t>
      </w:r>
      <w:proofErr w:type="spellStart"/>
      <w:r>
        <w:t>intermédiées</w:t>
      </w:r>
      <w:proofErr w:type="spellEnd"/>
      <w:r>
        <w:t xml:space="preserve"> du FIPHFP, qui demeurent importantes, notamment par l’intermédiaire de l’</w:t>
      </w:r>
      <w:proofErr w:type="spellStart"/>
      <w:r>
        <w:t>Agefiph</w:t>
      </w:r>
      <w:proofErr w:type="spellEnd"/>
      <w:r>
        <w:t xml:space="preserve">, ont vocation à se </w:t>
      </w:r>
      <w:r w:rsidRPr="000B6130">
        <w:t>réduire à l’avenir.</w:t>
      </w:r>
    </w:p>
    <w:p w14:paraId="02B8B108" w14:textId="77777777" w:rsidR="000B6130" w:rsidRPr="000B6130" w:rsidRDefault="000B6130" w:rsidP="000B6130">
      <w:pPr>
        <w:pStyle w:val="Titre"/>
        <w:rPr>
          <w:b/>
          <w:sz w:val="28"/>
          <w:szCs w:val="28"/>
        </w:rPr>
      </w:pPr>
    </w:p>
    <w:p w14:paraId="011C0A6F" w14:textId="77777777" w:rsidR="000B6130" w:rsidRDefault="000B6130">
      <w:pPr>
        <w:jc w:val="left"/>
        <w:rPr>
          <w:rFonts w:eastAsiaTheme="majorEastAsia" w:cstheme="majorBidi"/>
          <w:b/>
          <w:spacing w:val="-10"/>
          <w:kern w:val="28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26C3B7A" w14:textId="4D52EB5C" w:rsidR="000B6130" w:rsidRDefault="000B6130" w:rsidP="000B6130">
      <w:pPr>
        <w:pStyle w:val="Titre"/>
        <w:rPr>
          <w:b/>
          <w:sz w:val="28"/>
          <w:szCs w:val="28"/>
        </w:rPr>
      </w:pPr>
      <w:r w:rsidRPr="000B6130">
        <w:rPr>
          <w:b/>
          <w:sz w:val="28"/>
          <w:szCs w:val="28"/>
        </w:rPr>
        <w:lastRenderedPageBreak/>
        <w:t>DES RÉSULTATS QUI SE MAINTIENNENT</w:t>
      </w:r>
      <w:r>
        <w:rPr>
          <w:b/>
          <w:sz w:val="28"/>
          <w:szCs w:val="28"/>
        </w:rPr>
        <w:t xml:space="preserve"> </w:t>
      </w:r>
      <w:r w:rsidRPr="000B6130">
        <w:rPr>
          <w:b/>
          <w:sz w:val="28"/>
          <w:szCs w:val="28"/>
        </w:rPr>
        <w:t>MALGRÉ LA RÉDUCTION DES INTERVENTIONS</w:t>
      </w:r>
    </w:p>
    <w:p w14:paraId="2353BCA0" w14:textId="5E780909" w:rsidR="000B6130" w:rsidRDefault="000B6130" w:rsidP="000B6130"/>
    <w:p w14:paraId="3DFF7FFA" w14:textId="57DA54CD" w:rsidR="000B6130" w:rsidRDefault="000B6130" w:rsidP="000B6130">
      <w:pPr>
        <w:pStyle w:val="Titre1"/>
        <w:rPr>
          <w:color w:val="4BACC6" w:themeColor="accent5"/>
        </w:rPr>
      </w:pPr>
      <w:r w:rsidRPr="000B6130">
        <w:rPr>
          <w:color w:val="4BACC6" w:themeColor="accent5"/>
        </w:rPr>
        <w:t>DES INTERVENTIONS IMPACTÉES PAR LA FORTE BAISSE DES</w:t>
      </w:r>
      <w:r>
        <w:rPr>
          <w:color w:val="4BACC6" w:themeColor="accent5"/>
        </w:rPr>
        <w:t xml:space="preserve"> </w:t>
      </w:r>
      <w:r w:rsidRPr="000B6130">
        <w:rPr>
          <w:color w:val="4BACC6" w:themeColor="accent5"/>
        </w:rPr>
        <w:t>CONTRIBUTIONS</w:t>
      </w:r>
    </w:p>
    <w:p w14:paraId="2332F5EA" w14:textId="77777777" w:rsidR="000B6130" w:rsidRDefault="000B6130" w:rsidP="000B6130"/>
    <w:p w14:paraId="7510DA29" w14:textId="63F7EAB9" w:rsidR="000B6130" w:rsidRDefault="000B6130" w:rsidP="000B6130">
      <w:r>
        <w:t xml:space="preserve">En 2017, le montant des interventions du FIPHFP a baissé de </w:t>
      </w:r>
      <w:r w:rsidRPr="000B6130">
        <w:rPr>
          <w:color w:val="000000" w:themeColor="text1"/>
        </w:rPr>
        <w:t xml:space="preserve">18 % </w:t>
      </w:r>
      <w:r>
        <w:t>par rapport à l’année 2016.</w:t>
      </w:r>
    </w:p>
    <w:p w14:paraId="7F6D2BB6" w14:textId="77777777" w:rsidR="000B6130" w:rsidRDefault="000B6130" w:rsidP="000B6130"/>
    <w:p w14:paraId="636C2264" w14:textId="1373568A" w:rsidR="000B6130" w:rsidRPr="000B6130" w:rsidRDefault="000B6130" w:rsidP="000B6130">
      <w:pPr>
        <w:rPr>
          <w:b/>
        </w:rPr>
      </w:pPr>
      <w:r w:rsidRPr="000B6130">
        <w:rPr>
          <w:b/>
        </w:rPr>
        <w:t>Évolution des dépenses d'intervention (en millions d'euros)</w:t>
      </w:r>
      <w:r>
        <w:rPr>
          <w:b/>
        </w:rPr>
        <w:t> :</w:t>
      </w:r>
    </w:p>
    <w:p w14:paraId="0671485A" w14:textId="2CA12050" w:rsidR="000B6130" w:rsidRPr="000B6130" w:rsidRDefault="000B6130" w:rsidP="000B6130">
      <w:r w:rsidRPr="000B6130">
        <w:t>2007 : 7,38</w:t>
      </w:r>
      <w:r w:rsidR="00EA2962">
        <w:t xml:space="preserve"> millions d’euros</w:t>
      </w:r>
    </w:p>
    <w:p w14:paraId="17CD1D47" w14:textId="7D143FAD" w:rsidR="000B6130" w:rsidRPr="000B6130" w:rsidRDefault="000B6130" w:rsidP="000B6130">
      <w:r w:rsidRPr="000B6130">
        <w:t>2008 : 37,81</w:t>
      </w:r>
      <w:r w:rsidR="00EA2962">
        <w:t xml:space="preserve"> millions d’euros</w:t>
      </w:r>
    </w:p>
    <w:p w14:paraId="3EEA6C01" w14:textId="68E8C789" w:rsidR="000B6130" w:rsidRPr="000B6130" w:rsidRDefault="000B6130" w:rsidP="000B6130">
      <w:r w:rsidRPr="000B6130">
        <w:t>2009 : 69,79</w:t>
      </w:r>
      <w:r w:rsidR="00EA2962">
        <w:t xml:space="preserve"> millions d’euros</w:t>
      </w:r>
    </w:p>
    <w:p w14:paraId="423E2C2B" w14:textId="1FCF3206" w:rsidR="000B6130" w:rsidRPr="000B6130" w:rsidRDefault="000B6130" w:rsidP="000B6130">
      <w:r w:rsidRPr="000B6130">
        <w:t>2010 : 90,45</w:t>
      </w:r>
      <w:r w:rsidR="00EA2962">
        <w:t xml:space="preserve"> millions d’euros</w:t>
      </w:r>
    </w:p>
    <w:p w14:paraId="6631443C" w14:textId="360E170E" w:rsidR="000B6130" w:rsidRPr="000B6130" w:rsidRDefault="000B6130" w:rsidP="000B6130">
      <w:r w:rsidRPr="000B6130">
        <w:t>2011 : 86,28</w:t>
      </w:r>
      <w:r w:rsidR="00EA2962">
        <w:t xml:space="preserve"> millions d’euros</w:t>
      </w:r>
    </w:p>
    <w:p w14:paraId="0B13B11B" w14:textId="25E08DF0" w:rsidR="000B6130" w:rsidRPr="000B6130" w:rsidRDefault="000B6130" w:rsidP="000B6130">
      <w:r w:rsidRPr="000B6130">
        <w:t>2012 : 126,87</w:t>
      </w:r>
      <w:r w:rsidR="00EA2962">
        <w:t xml:space="preserve"> millions d’euros</w:t>
      </w:r>
    </w:p>
    <w:p w14:paraId="1ACFE22E" w14:textId="7282685C" w:rsidR="000B6130" w:rsidRPr="000B6130" w:rsidRDefault="000B6130" w:rsidP="000B6130">
      <w:r w:rsidRPr="000B6130">
        <w:t>2013 : 160,83</w:t>
      </w:r>
      <w:r w:rsidR="00EA2962">
        <w:t xml:space="preserve"> millions d’euros</w:t>
      </w:r>
    </w:p>
    <w:p w14:paraId="35685830" w14:textId="337A291D" w:rsidR="000B6130" w:rsidRPr="000B6130" w:rsidRDefault="000B6130" w:rsidP="000B6130">
      <w:r w:rsidRPr="000B6130">
        <w:t>2014 : 181,05</w:t>
      </w:r>
      <w:r w:rsidR="00EA2962">
        <w:t xml:space="preserve"> millions d’euros</w:t>
      </w:r>
    </w:p>
    <w:p w14:paraId="7F0BF32A" w14:textId="2EB0BE29" w:rsidR="000B6130" w:rsidRPr="000B6130" w:rsidRDefault="000B6130" w:rsidP="000B6130">
      <w:r w:rsidRPr="000B6130">
        <w:t>2015 : 159,95</w:t>
      </w:r>
      <w:r w:rsidR="00EA2962">
        <w:t xml:space="preserve"> millions d’euros</w:t>
      </w:r>
    </w:p>
    <w:p w14:paraId="087C8846" w14:textId="2A8C296F" w:rsidR="000B6130" w:rsidRPr="000B6130" w:rsidRDefault="000B6130" w:rsidP="000B6130">
      <w:r w:rsidRPr="000B6130">
        <w:t>2016 : 157</w:t>
      </w:r>
      <w:r w:rsidR="00EA2962">
        <w:t xml:space="preserve"> millions d’euros</w:t>
      </w:r>
    </w:p>
    <w:p w14:paraId="2C849C34" w14:textId="4DECE0A7" w:rsidR="000B6130" w:rsidRDefault="000B6130" w:rsidP="000B6130">
      <w:r w:rsidRPr="000B6130">
        <w:t>2017 : 128,84</w:t>
      </w:r>
      <w:r w:rsidR="00EA2962">
        <w:t xml:space="preserve"> millions d’euros</w:t>
      </w:r>
    </w:p>
    <w:p w14:paraId="4ACBA6E0" w14:textId="77777777" w:rsidR="00EA2962" w:rsidRDefault="00EA2962" w:rsidP="000B6130"/>
    <w:p w14:paraId="01CDC8CE" w14:textId="15006E1F" w:rsidR="00EA2962" w:rsidRPr="000B6130" w:rsidRDefault="00EA2962" w:rsidP="00EA2962">
      <w:pPr>
        <w:pStyle w:val="Titre1"/>
      </w:pPr>
      <w:r>
        <w:t>Deux catégories d’interventions</w:t>
      </w:r>
    </w:p>
    <w:p w14:paraId="34DEBF2D" w14:textId="77777777" w:rsidR="00EA2962" w:rsidRDefault="00EA2962" w:rsidP="000B6130"/>
    <w:p w14:paraId="6058EF1F" w14:textId="061A20B4" w:rsidR="00EA2962" w:rsidRPr="00EA2962" w:rsidRDefault="00EA2962" w:rsidP="00EA2962">
      <w:pPr>
        <w:pStyle w:val="Paragraphedeliste"/>
        <w:numPr>
          <w:ilvl w:val="0"/>
          <w:numId w:val="16"/>
        </w:numPr>
        <w:rPr>
          <w:b/>
        </w:rPr>
      </w:pPr>
      <w:r w:rsidRPr="00EA2962">
        <w:rPr>
          <w:b/>
        </w:rPr>
        <w:t>79,84 millions d’euros d’aides directes (plateforme des aides, conventions employeurs et programme accessibilité)</w:t>
      </w:r>
    </w:p>
    <w:p w14:paraId="4C8D4FDC" w14:textId="77777777" w:rsidR="00EA2962" w:rsidRDefault="00EA2962" w:rsidP="000B6130"/>
    <w:p w14:paraId="539DC77A" w14:textId="7207ABA4" w:rsidR="00EA2962" w:rsidRPr="00EA2962" w:rsidRDefault="00EA2962" w:rsidP="00EA2962">
      <w:r w:rsidRPr="00EA2962">
        <w:t>14,33 millions d’euros financés dans le cadre des aides ponctuelles sollicitées par les employeurs sur la plateforme du FIPHFP.</w:t>
      </w:r>
    </w:p>
    <w:p w14:paraId="3748B5B0" w14:textId="77777777" w:rsidR="00EA2962" w:rsidRPr="00EA2962" w:rsidRDefault="00EA2962" w:rsidP="00EA2962"/>
    <w:p w14:paraId="33904928" w14:textId="20FAA795" w:rsidR="00EA2962" w:rsidRPr="00EA2962" w:rsidRDefault="00EA2962" w:rsidP="00EA2962">
      <w:r w:rsidRPr="00EA2962">
        <w:t>57,56 millions d’euros financés dans le cadre des conventions employeurs.</w:t>
      </w:r>
    </w:p>
    <w:p w14:paraId="7B6EE3D8" w14:textId="77777777" w:rsidR="00EA2962" w:rsidRPr="00EA2962" w:rsidRDefault="00EA2962" w:rsidP="00EA2962"/>
    <w:p w14:paraId="643D9864" w14:textId="0538E075" w:rsidR="00EA2962" w:rsidRPr="00EA2962" w:rsidRDefault="00EA2962" w:rsidP="00EA2962">
      <w:r w:rsidRPr="00EA2962">
        <w:t>7,95 millions d’euros financés dans le cadre du programme Accessibilité.</w:t>
      </w:r>
    </w:p>
    <w:p w14:paraId="2B5099D2" w14:textId="77777777" w:rsidR="00EA2962" w:rsidRDefault="00EA2962" w:rsidP="00EA2962"/>
    <w:p w14:paraId="4E29E388" w14:textId="34A94391" w:rsidR="00EA2962" w:rsidRDefault="00EA2962" w:rsidP="00EA2962">
      <w:pPr>
        <w:rPr>
          <w:b/>
        </w:rPr>
      </w:pPr>
      <w:r w:rsidRPr="00EA2962">
        <w:rPr>
          <w:b/>
        </w:rPr>
        <w:t>Répartition des aides plateforme payées en 2016 par fonction publique (en millions d’euros)</w:t>
      </w:r>
      <w:r>
        <w:rPr>
          <w:b/>
        </w:rPr>
        <w:t> :</w:t>
      </w:r>
    </w:p>
    <w:p w14:paraId="5AB1BAAD" w14:textId="31343957" w:rsidR="00EA2962" w:rsidRPr="00EA2962" w:rsidRDefault="00EA2962" w:rsidP="00EA2962">
      <w:pPr>
        <w:pStyle w:val="Paragraphedeliste"/>
        <w:numPr>
          <w:ilvl w:val="0"/>
          <w:numId w:val="15"/>
        </w:numPr>
        <w:rPr>
          <w:color w:val="000000" w:themeColor="text1"/>
        </w:rPr>
      </w:pPr>
      <w:r w:rsidRPr="00EA2962">
        <w:rPr>
          <w:color w:val="000000" w:themeColor="text1"/>
        </w:rPr>
        <w:t xml:space="preserve">Fonction publique d’État : </w:t>
      </w:r>
      <w:r>
        <w:rPr>
          <w:color w:val="000000" w:themeColor="text1"/>
        </w:rPr>
        <w:t>1,03 million d’euros</w:t>
      </w:r>
    </w:p>
    <w:p w14:paraId="142D1084" w14:textId="43029798" w:rsidR="00EA2962" w:rsidRPr="00EA2962" w:rsidRDefault="00EA2962" w:rsidP="00EA2962">
      <w:pPr>
        <w:pStyle w:val="Paragraphedeliste"/>
        <w:numPr>
          <w:ilvl w:val="0"/>
          <w:numId w:val="15"/>
        </w:numPr>
      </w:pPr>
      <w:r w:rsidRPr="00EA2962">
        <w:t xml:space="preserve">Fonction publique hospitalière : </w:t>
      </w:r>
      <w:r>
        <w:rPr>
          <w:color w:val="000000" w:themeColor="text1"/>
        </w:rPr>
        <w:t>3 millions d’euros</w:t>
      </w:r>
    </w:p>
    <w:p w14:paraId="569F52A3" w14:textId="5521EDB4" w:rsidR="00EA2962" w:rsidRPr="00EA2962" w:rsidRDefault="00EA2962" w:rsidP="00EA2962">
      <w:pPr>
        <w:pStyle w:val="Paragraphedeliste"/>
        <w:numPr>
          <w:ilvl w:val="0"/>
          <w:numId w:val="15"/>
        </w:numPr>
      </w:pPr>
      <w:r w:rsidRPr="00EA2962">
        <w:t xml:space="preserve">Fonction publique territoriale : </w:t>
      </w:r>
      <w:r>
        <w:rPr>
          <w:color w:val="000000" w:themeColor="text1"/>
        </w:rPr>
        <w:t>10,3 millions d’euros</w:t>
      </w:r>
    </w:p>
    <w:p w14:paraId="5DB2C078" w14:textId="77777777" w:rsidR="00EA2962" w:rsidRPr="00EA2962" w:rsidRDefault="00EA2962" w:rsidP="00EA2962"/>
    <w:p w14:paraId="46920DFA" w14:textId="3F885527" w:rsidR="00EA2962" w:rsidRPr="00EA2962" w:rsidRDefault="00EA2962" w:rsidP="00EA2962">
      <w:pPr>
        <w:rPr>
          <w:b/>
        </w:rPr>
      </w:pPr>
      <w:r w:rsidRPr="00EA2962">
        <w:rPr>
          <w:b/>
        </w:rPr>
        <w:t>Répartition des 92 conventions validées en 2017 par fonction publique</w:t>
      </w:r>
      <w:r>
        <w:rPr>
          <w:b/>
        </w:rPr>
        <w:t> :</w:t>
      </w:r>
    </w:p>
    <w:p w14:paraId="4BE60511" w14:textId="754F305A" w:rsidR="00EA2962" w:rsidRPr="00EA2962" w:rsidRDefault="00EA2962" w:rsidP="00EA2962">
      <w:pPr>
        <w:pStyle w:val="Paragraphedeliste"/>
        <w:numPr>
          <w:ilvl w:val="0"/>
          <w:numId w:val="15"/>
        </w:numPr>
        <w:rPr>
          <w:color w:val="000000" w:themeColor="text1"/>
        </w:rPr>
      </w:pPr>
      <w:r w:rsidRPr="00EA2962">
        <w:rPr>
          <w:color w:val="000000" w:themeColor="text1"/>
        </w:rPr>
        <w:t xml:space="preserve">Fonction publique d’État : </w:t>
      </w:r>
      <w:r>
        <w:rPr>
          <w:color w:val="000000" w:themeColor="text1"/>
        </w:rPr>
        <w:t>15 conventions</w:t>
      </w:r>
    </w:p>
    <w:p w14:paraId="525D495F" w14:textId="44A7BBBB" w:rsidR="00EA2962" w:rsidRPr="00EA2962" w:rsidRDefault="00EA2962" w:rsidP="00EA2962">
      <w:pPr>
        <w:pStyle w:val="Paragraphedeliste"/>
        <w:numPr>
          <w:ilvl w:val="0"/>
          <w:numId w:val="15"/>
        </w:numPr>
      </w:pPr>
      <w:r w:rsidRPr="00EA2962">
        <w:t xml:space="preserve">Fonction publique hospitalière : </w:t>
      </w:r>
      <w:r>
        <w:rPr>
          <w:color w:val="000000" w:themeColor="text1"/>
        </w:rPr>
        <w:t>21 conventions</w:t>
      </w:r>
    </w:p>
    <w:p w14:paraId="5FD4A670" w14:textId="4D2604DC" w:rsidR="00EA2962" w:rsidRPr="00EA2962" w:rsidRDefault="00EA2962" w:rsidP="00EA2962">
      <w:pPr>
        <w:pStyle w:val="Paragraphedeliste"/>
        <w:numPr>
          <w:ilvl w:val="0"/>
          <w:numId w:val="15"/>
        </w:numPr>
      </w:pPr>
      <w:r w:rsidRPr="00EA2962">
        <w:t xml:space="preserve">Fonction publique territoriale : </w:t>
      </w:r>
      <w:r>
        <w:rPr>
          <w:color w:val="000000" w:themeColor="text1"/>
        </w:rPr>
        <w:t>56 conventions</w:t>
      </w:r>
    </w:p>
    <w:p w14:paraId="2DC551E0" w14:textId="77777777" w:rsidR="00EA2962" w:rsidRDefault="00EA2962" w:rsidP="00EA2962">
      <w:pPr>
        <w:autoSpaceDE w:val="0"/>
        <w:autoSpaceDN w:val="0"/>
        <w:adjustRightInd w:val="0"/>
        <w:ind w:left="360"/>
        <w:jc w:val="left"/>
        <w:rPr>
          <w:rFonts w:ascii="Times New Roman" w:hAnsi="Times New Roman" w:cs="Times New Roman"/>
          <w:color w:val="000000"/>
          <w:sz w:val="18"/>
          <w:szCs w:val="18"/>
        </w:rPr>
      </w:pPr>
    </w:p>
    <w:p w14:paraId="4634AB31" w14:textId="0A9B222F" w:rsidR="00EA2962" w:rsidRDefault="00EA2962" w:rsidP="00EA2962">
      <w:r w:rsidRPr="00EA2962">
        <w:t>Au total, le FIPHFP compte 386</w:t>
      </w:r>
      <w:r w:rsidR="00347240">
        <w:t xml:space="preserve"> </w:t>
      </w:r>
      <w:r w:rsidRPr="00EA2962">
        <w:t>conventions actives en 2017</w:t>
      </w:r>
      <w:r w:rsidR="00347240">
        <w:t>.</w:t>
      </w:r>
    </w:p>
    <w:p w14:paraId="6635F61F" w14:textId="77777777" w:rsidR="009F7190" w:rsidRDefault="009F7190" w:rsidP="00EA2962"/>
    <w:p w14:paraId="3F300304" w14:textId="6FF7A119" w:rsidR="009F7190" w:rsidRPr="009F7190" w:rsidRDefault="009F7190" w:rsidP="009F7190">
      <w:pPr>
        <w:pStyle w:val="Paragraphedeliste"/>
        <w:numPr>
          <w:ilvl w:val="0"/>
          <w:numId w:val="16"/>
        </w:numPr>
        <w:rPr>
          <w:b/>
        </w:rPr>
      </w:pPr>
      <w:r w:rsidRPr="009F7190">
        <w:rPr>
          <w:b/>
        </w:rPr>
        <w:t xml:space="preserve">49 millions d’euros d’aides indirectes (partenariats, </w:t>
      </w:r>
      <w:proofErr w:type="spellStart"/>
      <w:r w:rsidRPr="009F7190">
        <w:rPr>
          <w:b/>
        </w:rPr>
        <w:t>Handi</w:t>
      </w:r>
      <w:proofErr w:type="spellEnd"/>
      <w:r w:rsidRPr="009F7190">
        <w:rPr>
          <w:b/>
        </w:rPr>
        <w:t>-Pactes et travail de sensibilisation)</w:t>
      </w:r>
    </w:p>
    <w:p w14:paraId="5C91EA17" w14:textId="77777777" w:rsidR="00EA2962" w:rsidRDefault="00EA2962" w:rsidP="00EA2962"/>
    <w:p w14:paraId="65458E65" w14:textId="65135F61" w:rsidR="009F7190" w:rsidRPr="009F7190" w:rsidRDefault="009F7190" w:rsidP="009F7190">
      <w:proofErr w:type="spellStart"/>
      <w:r w:rsidRPr="009F7190">
        <w:t>Handi</w:t>
      </w:r>
      <w:proofErr w:type="spellEnd"/>
      <w:r w:rsidRPr="009F7190">
        <w:t xml:space="preserve">-Pactes : </w:t>
      </w:r>
      <w:r>
        <w:t>3,69 millions d’euros</w:t>
      </w:r>
    </w:p>
    <w:p w14:paraId="3874B333" w14:textId="5CE01602" w:rsidR="009F7190" w:rsidRPr="009F7190" w:rsidRDefault="009F7190" w:rsidP="009F7190">
      <w:r w:rsidRPr="009F7190">
        <w:t xml:space="preserve">Partenariats : 44,93 </w:t>
      </w:r>
      <w:r>
        <w:t>millions d’euros</w:t>
      </w:r>
    </w:p>
    <w:p w14:paraId="2C25090C" w14:textId="7F392A48" w:rsidR="009F7190" w:rsidRDefault="009F7190" w:rsidP="009F7190">
      <w:r w:rsidRPr="009F7190">
        <w:t xml:space="preserve">Sensibilisation : 0,37 </w:t>
      </w:r>
      <w:r>
        <w:t>million d’euros</w:t>
      </w:r>
    </w:p>
    <w:p w14:paraId="52AE441B" w14:textId="77777777" w:rsidR="009F7190" w:rsidRDefault="009F7190" w:rsidP="009F7190"/>
    <w:p w14:paraId="1D002AEA" w14:textId="77777777" w:rsidR="009F7190" w:rsidRDefault="009F7190">
      <w:pPr>
        <w:jc w:val="left"/>
        <w:rPr>
          <w:rFonts w:eastAsiaTheme="majorEastAsia" w:cstheme="majorBidi"/>
          <w:b/>
          <w:spacing w:val="-10"/>
          <w:kern w:val="28"/>
          <w:sz w:val="28"/>
          <w:szCs w:val="56"/>
        </w:rPr>
      </w:pPr>
      <w:r>
        <w:rPr>
          <w:b/>
          <w:sz w:val="28"/>
        </w:rPr>
        <w:br w:type="page"/>
      </w:r>
    </w:p>
    <w:p w14:paraId="02779F0C" w14:textId="4A0B83EF" w:rsidR="009F7190" w:rsidRDefault="009F7190" w:rsidP="009F7190">
      <w:pPr>
        <w:pStyle w:val="Titre"/>
        <w:rPr>
          <w:b/>
          <w:sz w:val="28"/>
        </w:rPr>
      </w:pPr>
      <w:r w:rsidRPr="009F7190">
        <w:rPr>
          <w:b/>
          <w:sz w:val="28"/>
        </w:rPr>
        <w:lastRenderedPageBreak/>
        <w:t>LE SUCCÈS DU FIPHFP A POUR</w:t>
      </w:r>
      <w:r>
        <w:rPr>
          <w:b/>
          <w:sz w:val="28"/>
        </w:rPr>
        <w:t xml:space="preserve"> CONSÉQUENCE UNE BAISSE DES </w:t>
      </w:r>
      <w:r w:rsidRPr="009F7190">
        <w:rPr>
          <w:b/>
          <w:sz w:val="28"/>
        </w:rPr>
        <w:t>RECETTES</w:t>
      </w:r>
    </w:p>
    <w:p w14:paraId="36D13F57" w14:textId="77777777" w:rsidR="009F7190" w:rsidRDefault="009F7190" w:rsidP="009F7190"/>
    <w:p w14:paraId="1477CC71" w14:textId="647815BC" w:rsidR="009F7190" w:rsidRDefault="009F7190" w:rsidP="009F7190">
      <w:pPr>
        <w:pStyle w:val="Titre1"/>
        <w:rPr>
          <w:color w:val="4BACC6" w:themeColor="accent5"/>
        </w:rPr>
      </w:pPr>
      <w:r w:rsidRPr="009F7190">
        <w:rPr>
          <w:color w:val="4BACC6" w:themeColor="accent5"/>
        </w:rPr>
        <w:t>LES CONTRIBUTIONS ATTEIGNENT LEUR NIVEAU LE PLUS BAS DEPUIS LA CRÉATION DU FONDS</w:t>
      </w:r>
    </w:p>
    <w:p w14:paraId="78483C5B" w14:textId="77777777" w:rsidR="009F7190" w:rsidRDefault="009F7190" w:rsidP="009F7190">
      <w:pPr>
        <w:pStyle w:val="Titre1"/>
      </w:pPr>
    </w:p>
    <w:p w14:paraId="6DE6AC9A" w14:textId="154002E8" w:rsidR="009F7190" w:rsidRPr="009F7190" w:rsidRDefault="009F7190" w:rsidP="009F7190">
      <w:pPr>
        <w:rPr>
          <w:b/>
        </w:rPr>
      </w:pPr>
      <w:r w:rsidRPr="009F7190">
        <w:rPr>
          <w:b/>
        </w:rPr>
        <w:t>Évolution des contributions des employeurs (en millions d’euros)</w:t>
      </w:r>
      <w:r>
        <w:rPr>
          <w:b/>
        </w:rPr>
        <w:t> :</w:t>
      </w:r>
    </w:p>
    <w:p w14:paraId="6F34F3BC" w14:textId="683ADEE5" w:rsidR="009F7190" w:rsidRPr="009F7190" w:rsidRDefault="009F7190" w:rsidP="009F7190">
      <w:r w:rsidRPr="009F7190">
        <w:t>2007 : 165,49 millions d’euros</w:t>
      </w:r>
    </w:p>
    <w:p w14:paraId="5D776DF4" w14:textId="45F22AD3" w:rsidR="009F7190" w:rsidRPr="009F7190" w:rsidRDefault="009F7190" w:rsidP="009F7190">
      <w:r w:rsidRPr="009F7190">
        <w:t>2008 : 165,49 millions d’euros</w:t>
      </w:r>
    </w:p>
    <w:p w14:paraId="49C210D1" w14:textId="089692C9" w:rsidR="009F7190" w:rsidRPr="009F7190" w:rsidRDefault="009F7190" w:rsidP="009F7190">
      <w:r w:rsidRPr="009F7190">
        <w:t>2009 : 185,4 millions d’euros</w:t>
      </w:r>
    </w:p>
    <w:p w14:paraId="350C0056" w14:textId="263EB372" w:rsidR="009F7190" w:rsidRPr="009F7190" w:rsidRDefault="009F7190" w:rsidP="009F7190">
      <w:r w:rsidRPr="009F7190">
        <w:t>2010 : 212,52 millions d’euros</w:t>
      </w:r>
    </w:p>
    <w:p w14:paraId="2875B7FD" w14:textId="25B51883" w:rsidR="009F7190" w:rsidRPr="009F7190" w:rsidRDefault="009F7190" w:rsidP="009F7190">
      <w:r w:rsidRPr="009F7190">
        <w:t>2011 : 188,11 millions d’euros</w:t>
      </w:r>
    </w:p>
    <w:p w14:paraId="47202918" w14:textId="6B3A9FCF" w:rsidR="009F7190" w:rsidRPr="009F7190" w:rsidRDefault="009F7190" w:rsidP="009F7190">
      <w:r w:rsidRPr="009F7190">
        <w:t>2012 : 164,01 millions d’euros</w:t>
      </w:r>
    </w:p>
    <w:p w14:paraId="37D562CC" w14:textId="156B0DA7" w:rsidR="009F7190" w:rsidRPr="009F7190" w:rsidRDefault="009F7190" w:rsidP="009F7190">
      <w:r w:rsidRPr="009F7190">
        <w:t>2013 : 148,66 millions d’euros</w:t>
      </w:r>
    </w:p>
    <w:p w14:paraId="103C073A" w14:textId="679CEDEC" w:rsidR="009F7190" w:rsidRPr="009F7190" w:rsidRDefault="009F7190" w:rsidP="009F7190">
      <w:r w:rsidRPr="009F7190">
        <w:t>2014 : 130,99 millions d’euros</w:t>
      </w:r>
    </w:p>
    <w:p w14:paraId="69EDEAC0" w14:textId="44F74138" w:rsidR="009F7190" w:rsidRPr="009F7190" w:rsidRDefault="009F7190" w:rsidP="009F7190">
      <w:r w:rsidRPr="009F7190">
        <w:t>2015 : 126,09 millions d’euros</w:t>
      </w:r>
    </w:p>
    <w:p w14:paraId="6753A7CE" w14:textId="6C5D1EC9" w:rsidR="009F7190" w:rsidRPr="009F7190" w:rsidRDefault="009F7190" w:rsidP="009F7190">
      <w:r w:rsidRPr="009F7190">
        <w:t>2016 : 132,01 millions d’euros</w:t>
      </w:r>
    </w:p>
    <w:p w14:paraId="0F5984CC" w14:textId="02CFB75A" w:rsidR="009F7190" w:rsidRDefault="009F7190" w:rsidP="009F7190">
      <w:r w:rsidRPr="009F7190">
        <w:t>2017 : 120,88 millions d’euros</w:t>
      </w:r>
    </w:p>
    <w:p w14:paraId="75B997B0" w14:textId="77777777" w:rsidR="009F7190" w:rsidRDefault="009F7190" w:rsidP="009F7190"/>
    <w:p w14:paraId="6BFD2A48" w14:textId="335BFF7B" w:rsidR="009F7190" w:rsidRDefault="009F7190" w:rsidP="00EF476F">
      <w:pPr>
        <w:rPr>
          <w:b/>
        </w:rPr>
      </w:pPr>
      <w:r w:rsidRPr="00EF476F">
        <w:rPr>
          <w:b/>
        </w:rPr>
        <w:t>Les contributions du fonds sont inférieures aux dépenses d’intervention pour la cinquième année consécutive</w:t>
      </w:r>
      <w:r w:rsidR="00EF476F" w:rsidRPr="00EF476F">
        <w:rPr>
          <w:b/>
        </w:rPr>
        <w:t>.</w:t>
      </w:r>
    </w:p>
    <w:p w14:paraId="6B64D1BF" w14:textId="77777777" w:rsidR="00EF476F" w:rsidRDefault="00EF476F" w:rsidP="00EF476F">
      <w:pPr>
        <w:rPr>
          <w:b/>
        </w:rPr>
      </w:pPr>
    </w:p>
    <w:p w14:paraId="15CF71D8" w14:textId="74282900" w:rsidR="00EF476F" w:rsidRDefault="00EF476F" w:rsidP="00EF476F">
      <w:r w:rsidRPr="00EF476F">
        <w:t>Pour rappel, les contributions des employeurs publics dont les</w:t>
      </w:r>
      <w:r>
        <w:t xml:space="preserve"> </w:t>
      </w:r>
      <w:r w:rsidRPr="00EF476F">
        <w:t>effectifs sont supérieurs à 20 age</w:t>
      </w:r>
      <w:r>
        <w:t xml:space="preserve">nts et dont le taux d’emploi de </w:t>
      </w:r>
      <w:r w:rsidRPr="00EF476F">
        <w:t>personnes en situation de handicap est inférieur à 6 % son</w:t>
      </w:r>
      <w:r>
        <w:t xml:space="preserve">t l’unique </w:t>
      </w:r>
      <w:r w:rsidRPr="00EF476F">
        <w:t>source de financement du FIPHFP.</w:t>
      </w:r>
    </w:p>
    <w:p w14:paraId="43B9D039" w14:textId="77777777" w:rsidR="00EF476F" w:rsidRDefault="00EF476F">
      <w:pPr>
        <w:jc w:val="left"/>
      </w:pPr>
      <w:r>
        <w:br w:type="page"/>
      </w:r>
    </w:p>
    <w:p w14:paraId="2A65839B" w14:textId="77777777" w:rsidR="00EF476F" w:rsidRPr="00EF476F" w:rsidRDefault="00EF476F" w:rsidP="00EF476F">
      <w:pPr>
        <w:pStyle w:val="Titre"/>
        <w:rPr>
          <w:b/>
          <w:sz w:val="28"/>
          <w:szCs w:val="28"/>
        </w:rPr>
      </w:pPr>
      <w:r w:rsidRPr="00EF476F">
        <w:rPr>
          <w:b/>
          <w:sz w:val="28"/>
          <w:szCs w:val="28"/>
        </w:rPr>
        <w:lastRenderedPageBreak/>
        <w:t>ANNEXE #1</w:t>
      </w:r>
    </w:p>
    <w:p w14:paraId="47352925" w14:textId="01BE19A5" w:rsidR="00EF476F" w:rsidRPr="00EF476F" w:rsidRDefault="00EF476F" w:rsidP="00EF476F">
      <w:pPr>
        <w:pStyle w:val="Titre"/>
        <w:rPr>
          <w:b/>
          <w:sz w:val="28"/>
          <w:szCs w:val="28"/>
        </w:rPr>
      </w:pPr>
      <w:r w:rsidRPr="00EF476F">
        <w:rPr>
          <w:b/>
          <w:sz w:val="28"/>
          <w:szCs w:val="28"/>
        </w:rPr>
        <w:t>DES EMPLOYEURS INVESTIS</w:t>
      </w:r>
      <w:r>
        <w:rPr>
          <w:b/>
          <w:sz w:val="28"/>
          <w:szCs w:val="28"/>
        </w:rPr>
        <w:t xml:space="preserve"> </w:t>
      </w:r>
      <w:r w:rsidRPr="00EF476F">
        <w:rPr>
          <w:b/>
          <w:sz w:val="28"/>
          <w:szCs w:val="28"/>
        </w:rPr>
        <w:t>SUR L’ENSEMBLE DU TERRITOIRE</w:t>
      </w:r>
    </w:p>
    <w:p w14:paraId="5D784E66" w14:textId="74EA8D5B" w:rsidR="00EF476F" w:rsidRDefault="00EF476F" w:rsidP="00EF47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8A8A8A"/>
          <w:szCs w:val="20"/>
        </w:rPr>
      </w:pPr>
    </w:p>
    <w:p w14:paraId="6B6496B6" w14:textId="6419ECDB" w:rsidR="00EF476F" w:rsidRPr="00EF476F" w:rsidRDefault="00EF476F" w:rsidP="00EF476F">
      <w:pPr>
        <w:pStyle w:val="Titre1"/>
        <w:rPr>
          <w:color w:val="4BACC6" w:themeColor="accent5"/>
        </w:rPr>
      </w:pPr>
      <w:r w:rsidRPr="00EF476F">
        <w:rPr>
          <w:color w:val="4BACC6" w:themeColor="accent5"/>
        </w:rPr>
        <w:t>Des initiatives au service du recrutement d’agents</w:t>
      </w:r>
    </w:p>
    <w:p w14:paraId="653DC1A9" w14:textId="77777777" w:rsidR="00EF476F" w:rsidRDefault="00EF476F" w:rsidP="00EF47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25931"/>
          <w:sz w:val="24"/>
        </w:rPr>
      </w:pPr>
    </w:p>
    <w:p w14:paraId="101BD092" w14:textId="45E25028" w:rsidR="00EF476F" w:rsidRPr="00EF476F" w:rsidRDefault="00EF476F" w:rsidP="00EF476F">
      <w:pPr>
        <w:rPr>
          <w:b/>
        </w:rPr>
      </w:pPr>
      <w:r w:rsidRPr="00EF476F">
        <w:rPr>
          <w:b/>
        </w:rPr>
        <w:t>Exemple en région PACA : L’action du CDG des Alpes de Haute-Provence</w:t>
      </w:r>
    </w:p>
    <w:p w14:paraId="543E6AD1" w14:textId="59C717A1" w:rsidR="00EF476F" w:rsidRPr="00EF476F" w:rsidRDefault="00EF476F" w:rsidP="00EF476F">
      <w:r w:rsidRPr="00EF476F">
        <w:t>En 2017, le Centre de gestion de la fon</w:t>
      </w:r>
      <w:r>
        <w:t xml:space="preserve">ction publique territoriale des </w:t>
      </w:r>
      <w:r w:rsidRPr="00EF476F">
        <w:t>Alpes-de-Haute-Provence a favo</w:t>
      </w:r>
      <w:r>
        <w:t xml:space="preserve">risé le recrutement d’une jeune </w:t>
      </w:r>
      <w:r w:rsidRPr="00EF476F">
        <w:t>femme trisomique. Recrutée en empl</w:t>
      </w:r>
      <w:r>
        <w:t xml:space="preserve">oi d’avenir, elle a ensuite été </w:t>
      </w:r>
      <w:r w:rsidRPr="00EF476F">
        <w:t>titularisée sur un poste de cantiniè</w:t>
      </w:r>
      <w:r>
        <w:t xml:space="preserve">re. Le CDG l’a accompagnée dans </w:t>
      </w:r>
      <w:r w:rsidRPr="00EF476F">
        <w:t xml:space="preserve">tout son parcours </w:t>
      </w:r>
      <w:r>
        <w:t xml:space="preserve">à travers une </w:t>
      </w:r>
      <w:r w:rsidRPr="00EF476F">
        <w:t>Pre</w:t>
      </w:r>
      <w:r>
        <w:t xml:space="preserve">scription ponctuelle spécifique </w:t>
      </w:r>
      <w:r w:rsidRPr="00EF476F">
        <w:t>handicap mental, des actions de s</w:t>
      </w:r>
      <w:r>
        <w:t xml:space="preserve">ensibilisation à l’attention du </w:t>
      </w:r>
      <w:r w:rsidRPr="00EF476F">
        <w:t>collectif de travail ou encore des rencontres avec le tuteur.</w:t>
      </w:r>
    </w:p>
    <w:p w14:paraId="161D1B4C" w14:textId="77777777" w:rsidR="00EF476F" w:rsidRDefault="00EF476F" w:rsidP="00EF476F"/>
    <w:p w14:paraId="516777FD" w14:textId="5C89FBE7" w:rsidR="00EF476F" w:rsidRPr="00EF476F" w:rsidRDefault="00EF476F" w:rsidP="00EF476F">
      <w:pPr>
        <w:rPr>
          <w:b/>
        </w:rPr>
      </w:pPr>
      <w:r w:rsidRPr="00EF476F">
        <w:rPr>
          <w:b/>
        </w:rPr>
        <w:t xml:space="preserve">Exemple en Corse : La Mairie d’Ajaccio crée des passerelles entre secteur protégé et </w:t>
      </w:r>
      <w:r>
        <w:rPr>
          <w:b/>
        </w:rPr>
        <w:t>milieu ordinaire</w:t>
      </w:r>
    </w:p>
    <w:p w14:paraId="4A75F1D9" w14:textId="3D038354" w:rsidR="00EF476F" w:rsidRDefault="00EF476F" w:rsidP="00EF476F">
      <w:r w:rsidRPr="00EF476F">
        <w:t>La Mairie d’Ajaccio, qui est en passe de signer sa première convention</w:t>
      </w:r>
      <w:r>
        <w:t xml:space="preserve"> </w:t>
      </w:r>
      <w:r w:rsidRPr="00EF476F">
        <w:t>avec le FIPHFP, propose une déma</w:t>
      </w:r>
      <w:r>
        <w:t xml:space="preserve">rche aboutie en ce qui concerne </w:t>
      </w:r>
      <w:r w:rsidRPr="00EF476F">
        <w:t xml:space="preserve">l'accueil et l'emploi des personnes en </w:t>
      </w:r>
      <w:r>
        <w:t xml:space="preserve">situation de handicap provenant </w:t>
      </w:r>
      <w:r w:rsidRPr="00EF476F">
        <w:t xml:space="preserve">d'un ESAT. En travaillant en étroite </w:t>
      </w:r>
      <w:r>
        <w:t xml:space="preserve">collaboration avec l’ADAPEI, la </w:t>
      </w:r>
      <w:r w:rsidRPr="00EF476F">
        <w:t>collectivité a cherché des solu</w:t>
      </w:r>
      <w:r>
        <w:t xml:space="preserve">tions d’accueil adaptées, en se </w:t>
      </w:r>
      <w:r w:rsidRPr="00EF476F">
        <w:t>concentrant sur des métiers qui exis</w:t>
      </w:r>
      <w:r>
        <w:t xml:space="preserve">tent au sein de l’ESAT pour que </w:t>
      </w:r>
      <w:r w:rsidRPr="00EF476F">
        <w:t>l’insertion ne génère pas de stres</w:t>
      </w:r>
      <w:r>
        <w:t xml:space="preserve">s ou de déception pour l’agent. </w:t>
      </w:r>
      <w:r w:rsidRPr="00EF476F">
        <w:t>Grâce à ce dispositif de mise à dispos</w:t>
      </w:r>
      <w:r>
        <w:t xml:space="preserve">ition (MAD) la Mairie a intégré </w:t>
      </w:r>
      <w:r w:rsidRPr="00EF476F">
        <w:t>une première personne chargée de l’ent</w:t>
      </w:r>
      <w:r>
        <w:t xml:space="preserve">retien des espaces verts, qui y </w:t>
      </w:r>
      <w:r w:rsidRPr="00EF476F">
        <w:t>travaille depuis 6 ans, puis une autre à l’</w:t>
      </w:r>
      <w:r>
        <w:t xml:space="preserve">entretien de la voirie depuis 2 </w:t>
      </w:r>
      <w:r w:rsidRPr="00EF476F">
        <w:t>ans. Dans le premier cas, l’intégration a été une telle réus</w:t>
      </w:r>
      <w:r>
        <w:t xml:space="preserve">site que la </w:t>
      </w:r>
      <w:r w:rsidRPr="00EF476F">
        <w:t>collectivité a embauché la personn</w:t>
      </w:r>
      <w:r>
        <w:t xml:space="preserve">e en CDD. Dans la continuité de </w:t>
      </w:r>
      <w:r w:rsidRPr="00EF476F">
        <w:t>cette initiative, la Mairie d’Ajaccio</w:t>
      </w:r>
      <w:r>
        <w:t xml:space="preserve"> souhaite proposer des « stages </w:t>
      </w:r>
      <w:r w:rsidRPr="00EF476F">
        <w:t>découvertes » pour que les personn</w:t>
      </w:r>
      <w:r>
        <w:t xml:space="preserve">es qui évoluent dans le secteur </w:t>
      </w:r>
      <w:r w:rsidRPr="00EF476F">
        <w:t>protégé puissent tester d’autres métiers au</w:t>
      </w:r>
      <w:r>
        <w:t xml:space="preserve"> sein de la collectivité, en </w:t>
      </w:r>
      <w:r w:rsidRPr="00EF476F">
        <w:t>menuiserie, entretien des locaux ou dans les cantines scolaires.</w:t>
      </w:r>
    </w:p>
    <w:p w14:paraId="4AD21571" w14:textId="77777777" w:rsidR="00EF476F" w:rsidRDefault="00EF476F">
      <w:pPr>
        <w:jc w:val="left"/>
      </w:pPr>
      <w:r>
        <w:br w:type="page"/>
      </w:r>
    </w:p>
    <w:p w14:paraId="360EB85C" w14:textId="77777777" w:rsidR="00EF476F" w:rsidRPr="00EF476F" w:rsidRDefault="00EF476F" w:rsidP="00EF476F">
      <w:pPr>
        <w:pStyle w:val="Titre"/>
        <w:rPr>
          <w:b/>
          <w:sz w:val="28"/>
        </w:rPr>
      </w:pPr>
      <w:r w:rsidRPr="00EF476F">
        <w:rPr>
          <w:b/>
          <w:sz w:val="28"/>
        </w:rPr>
        <w:lastRenderedPageBreak/>
        <w:t>ANNEXE #2</w:t>
      </w:r>
    </w:p>
    <w:p w14:paraId="7FAD0763" w14:textId="3C4ABC3A" w:rsidR="00EF476F" w:rsidRPr="00EF476F" w:rsidRDefault="00EF476F" w:rsidP="00EF476F">
      <w:pPr>
        <w:pStyle w:val="Titre"/>
        <w:rPr>
          <w:b/>
          <w:sz w:val="28"/>
        </w:rPr>
      </w:pPr>
      <w:r w:rsidRPr="00EF476F">
        <w:rPr>
          <w:b/>
          <w:sz w:val="28"/>
        </w:rPr>
        <w:t>DES EMPLOYEURS INVESTIS SUR L’ENSEMBLE DU TERRITOIRE</w:t>
      </w:r>
    </w:p>
    <w:p w14:paraId="2C016092" w14:textId="1A23DD81" w:rsidR="00EF476F" w:rsidRDefault="00EF476F" w:rsidP="00EF47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8A8A8A"/>
          <w:szCs w:val="20"/>
        </w:rPr>
      </w:pPr>
    </w:p>
    <w:p w14:paraId="4BE28167" w14:textId="6F28705E" w:rsidR="00EF476F" w:rsidRPr="00EF476F" w:rsidRDefault="00EF476F" w:rsidP="00EF476F">
      <w:pPr>
        <w:pStyle w:val="Titre1"/>
        <w:rPr>
          <w:color w:val="4BACC6" w:themeColor="accent5"/>
        </w:rPr>
      </w:pPr>
      <w:r w:rsidRPr="00EF476F">
        <w:rPr>
          <w:color w:val="4BACC6" w:themeColor="accent5"/>
        </w:rPr>
        <w:t>Des initiatives au service du maintien dans l’emploi</w:t>
      </w:r>
    </w:p>
    <w:p w14:paraId="6CF56EEF" w14:textId="77777777" w:rsidR="00EF476F" w:rsidRDefault="00EF476F" w:rsidP="00EF476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1"/>
          <w:szCs w:val="21"/>
        </w:rPr>
      </w:pPr>
    </w:p>
    <w:p w14:paraId="3472A1B6" w14:textId="7D42EB29" w:rsidR="00EF476F" w:rsidRPr="00EF476F" w:rsidRDefault="00EF476F" w:rsidP="00EF476F">
      <w:pPr>
        <w:rPr>
          <w:b/>
        </w:rPr>
      </w:pPr>
      <w:r w:rsidRPr="00EF476F">
        <w:rPr>
          <w:b/>
        </w:rPr>
        <w:t>Exemple en région Bourgogne-Franche-Comté : La Ville de Chalon-sur-Saône développe des passerelles</w:t>
      </w:r>
    </w:p>
    <w:p w14:paraId="742BF6B0" w14:textId="0A6E615B" w:rsidR="00EF476F" w:rsidRPr="00EF476F" w:rsidRDefault="00EF476F" w:rsidP="00EF476F">
      <w:r w:rsidRPr="00EF476F">
        <w:t>Le premier conventionnement signé en 20</w:t>
      </w:r>
      <w:r>
        <w:t xml:space="preserve">14 entre le FIPHFP, la Ville de Chalon-sur-Saône, la </w:t>
      </w:r>
      <w:r w:rsidRPr="00EF476F">
        <w:t>Communauté d’aggl</w:t>
      </w:r>
      <w:r>
        <w:t xml:space="preserve">omération du Grand Chalon et le </w:t>
      </w:r>
      <w:r w:rsidRPr="00EF476F">
        <w:t>Centre communal d’action sociale a impulsé une réelle dynami</w:t>
      </w:r>
      <w:r>
        <w:t xml:space="preserve">que au sein des </w:t>
      </w:r>
      <w:r w:rsidRPr="00EF476F">
        <w:t>trois collectivités. Dans le cadre du renouvel</w:t>
      </w:r>
      <w:r>
        <w:t xml:space="preserve">lement de cette convention, les </w:t>
      </w:r>
      <w:r w:rsidRPr="00EF476F">
        <w:t>collectivités ont souhaité poursuivre et ren</w:t>
      </w:r>
      <w:r>
        <w:t xml:space="preserve">forcer leurs engagements sur la </w:t>
      </w:r>
      <w:r w:rsidRPr="00EF476F">
        <w:t>problémat</w:t>
      </w:r>
      <w:r>
        <w:t xml:space="preserve">ique du maintien dans l’emploi. </w:t>
      </w:r>
      <w:r w:rsidRPr="00EF476F">
        <w:t>L’augmentation croissante des demandes d’aménagements de postes et des</w:t>
      </w:r>
      <w:r>
        <w:t xml:space="preserve"> </w:t>
      </w:r>
      <w:r w:rsidRPr="00EF476F">
        <w:t>déclarations d’inaptitude par les médecins de</w:t>
      </w:r>
      <w:r>
        <w:t xml:space="preserve"> santé au travail ont poussé le </w:t>
      </w:r>
      <w:r w:rsidRPr="00EF476F">
        <w:t>FIPHFP et le Grand Chalon à en faire un axe de travail prioritaire. Il arrive en</w:t>
      </w:r>
      <w:r>
        <w:t xml:space="preserve"> </w:t>
      </w:r>
      <w:r w:rsidRPr="00EF476F">
        <w:t>effet que des agents inaptes en arrêt de travail acceptent des propositi</w:t>
      </w:r>
      <w:r>
        <w:t xml:space="preserve">ons de </w:t>
      </w:r>
      <w:r w:rsidRPr="00EF476F">
        <w:t>postes ne répondant pas pleinement à le</w:t>
      </w:r>
      <w:r>
        <w:t xml:space="preserve">urs souhaits ni aux besoins des </w:t>
      </w:r>
      <w:r w:rsidRPr="00EF476F">
        <w:t>services qui les reçoivent. Ce retour à l’emploi précipité rend leur réintégration</w:t>
      </w:r>
      <w:r>
        <w:t xml:space="preserve"> </w:t>
      </w:r>
      <w:r w:rsidRPr="00EF476F">
        <w:t xml:space="preserve">difficile, peut générer une perte de confiance </w:t>
      </w:r>
      <w:r>
        <w:t xml:space="preserve">et les empêche de bénéficier de </w:t>
      </w:r>
      <w:r w:rsidRPr="00EF476F">
        <w:t>formations qui pourrai</w:t>
      </w:r>
      <w:r>
        <w:t xml:space="preserve">ent faciliter une reconversion. </w:t>
      </w:r>
      <w:r w:rsidRPr="00EF476F">
        <w:t>Afin de répondre à cet enjeu majeur, les trois collectivités ont créé dans le</w:t>
      </w:r>
      <w:r>
        <w:t xml:space="preserve"> </w:t>
      </w:r>
      <w:r w:rsidRPr="00EF476F">
        <w:t>cadre de leur convention avec le F</w:t>
      </w:r>
      <w:r>
        <w:t xml:space="preserve">IPHFP, un « sas » de transition </w:t>
      </w:r>
      <w:r w:rsidRPr="00EF476F">
        <w:t xml:space="preserve">professionnelle. Il permet de créer des conditions favorables à la montée </w:t>
      </w:r>
      <w:r>
        <w:t xml:space="preserve">en </w:t>
      </w:r>
      <w:r w:rsidRPr="00EF476F">
        <w:t xml:space="preserve">compétences de l’agent en le détachant </w:t>
      </w:r>
      <w:r>
        <w:t xml:space="preserve">progressivement de son ancienne </w:t>
      </w:r>
      <w:r w:rsidRPr="00EF476F">
        <w:t>fonction. La période qui s’écoule entre l’avi</w:t>
      </w:r>
      <w:r>
        <w:t xml:space="preserve">s d’inaptitude du médecin et le </w:t>
      </w:r>
      <w:r w:rsidRPr="00EF476F">
        <w:t>repositionnement de l’agent sur un po</w:t>
      </w:r>
      <w:r>
        <w:t xml:space="preserve">ste vacant devient un véritable </w:t>
      </w:r>
      <w:r w:rsidRPr="00EF476F">
        <w:t>processus de reconversion lui permettant de « fa</w:t>
      </w:r>
      <w:r>
        <w:t xml:space="preserve">ire le deuil » de sa précédente </w:t>
      </w:r>
      <w:r w:rsidRPr="00EF476F">
        <w:t>activité.</w:t>
      </w:r>
      <w:r w:rsidR="00E67B91">
        <w:t xml:space="preserve"> </w:t>
      </w:r>
      <w:r w:rsidRPr="00EF476F">
        <w:t>Pour ce faire, le Grand Chalon a créé une salle dédiée à l’accompagnement des</w:t>
      </w:r>
      <w:r w:rsidR="00E67B91">
        <w:t xml:space="preserve"> </w:t>
      </w:r>
      <w:r w:rsidRPr="00EF476F">
        <w:t>agents au sein de la Direction des ressource</w:t>
      </w:r>
      <w:r w:rsidR="00E67B91">
        <w:t xml:space="preserve">s humaines. Il est composé de 6 </w:t>
      </w:r>
      <w:r w:rsidRPr="00EF476F">
        <w:t>postes informatiques et une animatrice est en ch</w:t>
      </w:r>
      <w:r w:rsidR="00E67B91">
        <w:t xml:space="preserve">arge de cet espace de </w:t>
      </w:r>
      <w:r w:rsidRPr="00EF476F">
        <w:t>transition professionnelle à plein temps. Dura</w:t>
      </w:r>
      <w:r w:rsidR="00E67B91">
        <w:t xml:space="preserve">nt une période pouvant aller de </w:t>
      </w:r>
      <w:r w:rsidRPr="00EF476F">
        <w:t>15 jours à 6 mois, l’agent bénéficie d’une éval</w:t>
      </w:r>
      <w:r w:rsidR="00E67B91">
        <w:t xml:space="preserve">uation de ses compétences ainsi </w:t>
      </w:r>
      <w:r w:rsidRPr="00EF476F">
        <w:t>que d’un accompagnement individua</w:t>
      </w:r>
      <w:r w:rsidR="00E67B91">
        <w:t xml:space="preserve">lisé pour construire son projet </w:t>
      </w:r>
      <w:r w:rsidRPr="00EF476F">
        <w:t>professionnel et son plan de formation.</w:t>
      </w:r>
    </w:p>
    <w:p w14:paraId="479990B0" w14:textId="77777777" w:rsidR="00E67B91" w:rsidRDefault="00E67B91" w:rsidP="00EF476F"/>
    <w:p w14:paraId="03CE1355" w14:textId="4DF3096B" w:rsidR="00EF476F" w:rsidRPr="00E67B91" w:rsidRDefault="00EF476F" w:rsidP="00EF476F">
      <w:pPr>
        <w:rPr>
          <w:b/>
        </w:rPr>
      </w:pPr>
      <w:r w:rsidRPr="00E67B91">
        <w:rPr>
          <w:b/>
        </w:rPr>
        <w:t>Exemple en région Hauts-de-</w:t>
      </w:r>
      <w:r w:rsidR="00E67B91" w:rsidRPr="00E67B91">
        <w:rPr>
          <w:b/>
        </w:rPr>
        <w:t xml:space="preserve">France : </w:t>
      </w:r>
      <w:r w:rsidRPr="00E67B91">
        <w:rPr>
          <w:b/>
        </w:rPr>
        <w:t>Une première convention pour le Centre hospitalier de Valenciennes</w:t>
      </w:r>
    </w:p>
    <w:p w14:paraId="108A06BC" w14:textId="1D916C35" w:rsidR="00E67B91" w:rsidRDefault="00EF476F" w:rsidP="00EF476F">
      <w:r w:rsidRPr="00EF476F">
        <w:t xml:space="preserve">Le 19 octobre 2017, le comité local </w:t>
      </w:r>
      <w:r w:rsidR="00E67B91">
        <w:t xml:space="preserve">du FIPHFP a validé une première </w:t>
      </w:r>
      <w:r w:rsidRPr="00EF476F">
        <w:t>convention triennale avec le Centre hospit</w:t>
      </w:r>
      <w:r w:rsidR="00E67B91">
        <w:t xml:space="preserve">alier de Valenciennes (CHV). Le </w:t>
      </w:r>
      <w:r w:rsidRPr="00EF476F">
        <w:t xml:space="preserve">FIPHFP et le CHV s’engagent, avec un </w:t>
      </w:r>
      <w:r w:rsidR="00E67B91">
        <w:t xml:space="preserve">budget de 884 798 €, à financer </w:t>
      </w:r>
      <w:r w:rsidRPr="00EF476F">
        <w:t>l’insertion et le maintien dans l’emploi des trav</w:t>
      </w:r>
      <w:r w:rsidR="00E67B91">
        <w:t xml:space="preserve">ailleurs handicapés. Le CHV est </w:t>
      </w:r>
      <w:r w:rsidRPr="00EF476F">
        <w:t>le 3ème employeur de la fonction publique hospi</w:t>
      </w:r>
      <w:r w:rsidR="00E67B91">
        <w:t xml:space="preserve">talière en région Hauts-de- </w:t>
      </w:r>
      <w:r w:rsidRPr="00EF476F">
        <w:t>France. Il emploie 5 000 agents dont 500</w:t>
      </w:r>
      <w:r w:rsidR="00E67B91">
        <w:t xml:space="preserve"> médecins, compte près de 2 000 </w:t>
      </w:r>
      <w:r w:rsidRPr="00EF476F">
        <w:t>lits et se mobilise depuis plusieurs</w:t>
      </w:r>
      <w:r w:rsidR="00E67B91">
        <w:t xml:space="preserve"> années pour gérer au mieux les </w:t>
      </w:r>
      <w:r w:rsidRPr="00EF476F">
        <w:t>problématiques spécifiques aux métiers de la</w:t>
      </w:r>
      <w:r w:rsidR="00E67B91">
        <w:t xml:space="preserve"> santé. L’établissement a ainsi </w:t>
      </w:r>
      <w:r w:rsidRPr="00EF476F">
        <w:t>développé une politique volontari</w:t>
      </w:r>
      <w:r w:rsidR="00E67B91">
        <w:t xml:space="preserve">ste qui repose notamment sur un </w:t>
      </w:r>
      <w:r w:rsidRPr="00EF476F">
        <w:t>programme d’accompagnement pour les a</w:t>
      </w:r>
      <w:r w:rsidR="00E67B91">
        <w:t xml:space="preserve">gents présentant une absence de </w:t>
      </w:r>
      <w:r w:rsidRPr="00EF476F">
        <w:t>plus de 30 jours consécutifs. Pour financer</w:t>
      </w:r>
      <w:r w:rsidR="00E67B91">
        <w:t xml:space="preserve"> ces actions, jusqu’en 2017, le </w:t>
      </w:r>
      <w:r w:rsidRPr="00EF476F">
        <w:t>Centre hospitalier sollicitait la plateforme des aides du F</w:t>
      </w:r>
      <w:r w:rsidR="00E67B91">
        <w:t xml:space="preserve">IPHFP. Le </w:t>
      </w:r>
      <w:r w:rsidRPr="00EF476F">
        <w:t>conventionnement contribue à consolider les dis</w:t>
      </w:r>
      <w:r w:rsidR="00E67B91">
        <w:t xml:space="preserve">positifs existants, à étayer et </w:t>
      </w:r>
      <w:r w:rsidRPr="00EF476F">
        <w:t>valoriser le management du handicap mis</w:t>
      </w:r>
      <w:r w:rsidR="00E67B91">
        <w:t xml:space="preserve"> en œuvre par la direction des </w:t>
      </w:r>
      <w:r w:rsidRPr="00EF476F">
        <w:t>ressources humaines.</w:t>
      </w:r>
    </w:p>
    <w:p w14:paraId="6EF0E513" w14:textId="77777777" w:rsidR="00E67B91" w:rsidRDefault="00E67B91">
      <w:pPr>
        <w:jc w:val="left"/>
      </w:pPr>
      <w:r>
        <w:br w:type="page"/>
      </w:r>
    </w:p>
    <w:p w14:paraId="0DF383D5" w14:textId="77777777" w:rsidR="00E67B91" w:rsidRPr="00E67B91" w:rsidRDefault="00E67B91" w:rsidP="00E67B91">
      <w:pPr>
        <w:pStyle w:val="Titre"/>
        <w:rPr>
          <w:b/>
          <w:sz w:val="28"/>
        </w:rPr>
      </w:pPr>
      <w:r w:rsidRPr="00E67B91">
        <w:rPr>
          <w:b/>
          <w:sz w:val="28"/>
        </w:rPr>
        <w:lastRenderedPageBreak/>
        <w:t>ANNEXE #3</w:t>
      </w:r>
    </w:p>
    <w:p w14:paraId="112D7657" w14:textId="44170F5A" w:rsidR="00E67B91" w:rsidRPr="00E67B91" w:rsidRDefault="00E67B91" w:rsidP="00E67B91">
      <w:pPr>
        <w:pStyle w:val="Titre"/>
        <w:rPr>
          <w:b/>
          <w:sz w:val="28"/>
        </w:rPr>
      </w:pPr>
      <w:r w:rsidRPr="00E67B91">
        <w:rPr>
          <w:b/>
          <w:sz w:val="28"/>
        </w:rPr>
        <w:t>DES EMPLOYEURS INVESTIS</w:t>
      </w:r>
      <w:r>
        <w:rPr>
          <w:b/>
          <w:sz w:val="28"/>
        </w:rPr>
        <w:t xml:space="preserve"> </w:t>
      </w:r>
      <w:r w:rsidRPr="00E67B91">
        <w:rPr>
          <w:b/>
          <w:sz w:val="28"/>
        </w:rPr>
        <w:t>SUR L’ENSEMBLE DU TERRITOIRE</w:t>
      </w:r>
    </w:p>
    <w:p w14:paraId="43B4C3EA" w14:textId="77777777" w:rsidR="00E67B91" w:rsidRDefault="00E67B91" w:rsidP="00E67B9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8A8A8A"/>
          <w:szCs w:val="20"/>
        </w:rPr>
      </w:pPr>
    </w:p>
    <w:p w14:paraId="5C6F847D" w14:textId="69DE5EE0" w:rsidR="00E67B91" w:rsidRPr="00E67B91" w:rsidRDefault="00E67B91" w:rsidP="00E67B91">
      <w:pPr>
        <w:pStyle w:val="Titre1"/>
      </w:pPr>
      <w:r w:rsidRPr="00E67B91">
        <w:t>Des initiatives au service de l’accessibilité numérique</w:t>
      </w:r>
    </w:p>
    <w:p w14:paraId="08CCC825" w14:textId="77777777" w:rsidR="00E67B91" w:rsidRDefault="00E67B91" w:rsidP="00E67B9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F78D1E"/>
          <w:sz w:val="24"/>
        </w:rPr>
      </w:pPr>
    </w:p>
    <w:p w14:paraId="0C790DDA" w14:textId="354DBCCA" w:rsidR="00E67B91" w:rsidRPr="00E67B91" w:rsidRDefault="00E67B91" w:rsidP="00E67B91">
      <w:pPr>
        <w:rPr>
          <w:b/>
        </w:rPr>
      </w:pPr>
      <w:r w:rsidRPr="00E67B91">
        <w:rPr>
          <w:b/>
        </w:rPr>
        <w:t>Exemple d’un employeur national : Pôle emploi</w:t>
      </w:r>
    </w:p>
    <w:p w14:paraId="406895CD" w14:textId="627AD13A" w:rsidR="00E67B91" w:rsidRPr="00E67B91" w:rsidRDefault="00E67B91" w:rsidP="00E67B91">
      <w:r w:rsidRPr="00E67B91">
        <w:t>La convention avec Pôle emploi signée le 15 octobre 2015 pour une</w:t>
      </w:r>
      <w:r>
        <w:t xml:space="preserve"> </w:t>
      </w:r>
      <w:r w:rsidRPr="00E67B91">
        <w:t>durée de 2 ans et un montant total de 477 500 € e permis de</w:t>
      </w:r>
      <w:r>
        <w:t xml:space="preserve"> </w:t>
      </w:r>
      <w:r w:rsidRPr="00E67B91">
        <w:t>contribuer au financement d’actions ayant pour en faveur de</w:t>
      </w:r>
      <w:r>
        <w:t xml:space="preserve"> </w:t>
      </w:r>
      <w:r w:rsidRPr="00E67B91">
        <w:t>l’accessibilité numérique des agents.</w:t>
      </w:r>
      <w:r>
        <w:t xml:space="preserve"> </w:t>
      </w:r>
      <w:r w:rsidRPr="00E67B91">
        <w:t>Les objectifs sont :</w:t>
      </w:r>
    </w:p>
    <w:p w14:paraId="41AB8F9C" w14:textId="23D1CB25" w:rsidR="00E67B91" w:rsidRPr="00E67B91" w:rsidRDefault="00E67B91" w:rsidP="00E67B91">
      <w:pPr>
        <w:pStyle w:val="Paragraphedeliste"/>
        <w:numPr>
          <w:ilvl w:val="0"/>
          <w:numId w:val="15"/>
        </w:numPr>
      </w:pPr>
      <w:r>
        <w:t xml:space="preserve">Maintenir </w:t>
      </w:r>
      <w:r w:rsidRPr="00E67B91">
        <w:t>l’emploi des agents en situation de handicap visuel par</w:t>
      </w:r>
      <w:r>
        <w:t xml:space="preserve"> </w:t>
      </w:r>
      <w:r w:rsidRPr="00E67B91">
        <w:t>l’amélioration de leur équipement informatique, le développement de</w:t>
      </w:r>
      <w:r>
        <w:t xml:space="preserve"> </w:t>
      </w:r>
      <w:r w:rsidRPr="00E67B91">
        <w:t>l’infrastructure de communication et de travail collaboratif (intranet,</w:t>
      </w:r>
      <w:r>
        <w:t xml:space="preserve"> </w:t>
      </w:r>
      <w:r w:rsidRPr="00E67B91">
        <w:t>applicatifs internes...) ;</w:t>
      </w:r>
    </w:p>
    <w:p w14:paraId="0734EE89" w14:textId="1FDAD82E" w:rsidR="00E67B91" w:rsidRPr="00E67B91" w:rsidRDefault="00E67B91" w:rsidP="00E67B91">
      <w:pPr>
        <w:pStyle w:val="Paragraphedeliste"/>
        <w:numPr>
          <w:ilvl w:val="0"/>
          <w:numId w:val="15"/>
        </w:numPr>
      </w:pPr>
      <w:r>
        <w:t>R</w:t>
      </w:r>
      <w:r w:rsidRPr="00E67B91">
        <w:t>elever, avec l’État, le défi majeur de l’accessibilité numérique par</w:t>
      </w:r>
      <w:r>
        <w:t xml:space="preserve"> </w:t>
      </w:r>
      <w:r w:rsidRPr="00E67B91">
        <w:t>l’obtention d’un label « e-accessible » délivré par la Direction</w:t>
      </w:r>
      <w:r>
        <w:t xml:space="preserve"> </w:t>
      </w:r>
      <w:r w:rsidRPr="00E67B91">
        <w:t>interministérielle du numérique et du système d’information et de</w:t>
      </w:r>
      <w:r>
        <w:t xml:space="preserve"> </w:t>
      </w:r>
      <w:r w:rsidRPr="00E67B91">
        <w:t>communication de l’État (DINSIC) pour le site internet de Pôle emploi.</w:t>
      </w:r>
    </w:p>
    <w:p w14:paraId="46A8E34C" w14:textId="77777777" w:rsidR="00E67B91" w:rsidRDefault="00E67B91" w:rsidP="00E67B91"/>
    <w:p w14:paraId="33ED4706" w14:textId="36513508" w:rsidR="00E67B91" w:rsidRPr="00E67B91" w:rsidRDefault="00E67B91" w:rsidP="00E67B91">
      <w:pPr>
        <w:rPr>
          <w:b/>
        </w:rPr>
      </w:pPr>
      <w:r w:rsidRPr="00E67B91">
        <w:rPr>
          <w:b/>
        </w:rPr>
        <w:t>Exemple à l’Île de la Réunion : La Ville de St Joseph</w:t>
      </w:r>
    </w:p>
    <w:p w14:paraId="165387E7" w14:textId="067E35B3" w:rsidR="00E67B91" w:rsidRDefault="00E67B91" w:rsidP="00E67B91">
      <w:r w:rsidRPr="00E67B91">
        <w:t>Tenant compte de sa situation géo</w:t>
      </w:r>
      <w:r>
        <w:t xml:space="preserve">graphique enclavée qui pose des </w:t>
      </w:r>
      <w:r w:rsidRPr="00E67B91">
        <w:t>difficultés d’accès au haut débit des habitants, la</w:t>
      </w:r>
      <w:r>
        <w:t xml:space="preserve"> Ville de St Joseph </w:t>
      </w:r>
      <w:r w:rsidRPr="00E67B91">
        <w:t>s’est engagée dès 2009 dans une dém</w:t>
      </w:r>
      <w:r>
        <w:t xml:space="preserve">arche visant l’accès à internet </w:t>
      </w:r>
      <w:r w:rsidRPr="00E67B91">
        <w:t>dans tous les quartiers. C’est dans</w:t>
      </w:r>
      <w:r>
        <w:t xml:space="preserve"> cette logique que la commune a </w:t>
      </w:r>
      <w:r w:rsidRPr="00E67B91">
        <w:t>cherché à rendre accessibles les outi</w:t>
      </w:r>
      <w:r>
        <w:t xml:space="preserve">ls numériques à destination des </w:t>
      </w:r>
      <w:r w:rsidRPr="00E67B91">
        <w:t xml:space="preserve">personnes en situation de handicap </w:t>
      </w:r>
      <w:r>
        <w:t xml:space="preserve">visuel. Elle a ainsi totalement </w:t>
      </w:r>
      <w:r w:rsidRPr="00E67B91">
        <w:t>redéveloppé son site internet et a obt</w:t>
      </w:r>
      <w:r>
        <w:t xml:space="preserve">enu le label </w:t>
      </w:r>
      <w:proofErr w:type="spellStart"/>
      <w:r>
        <w:t>Accessiweb</w:t>
      </w:r>
      <w:proofErr w:type="spellEnd"/>
      <w:r>
        <w:t xml:space="preserve"> (niveau </w:t>
      </w:r>
      <w:r w:rsidRPr="00E67B91">
        <w:t>argent), délivré par l’association Braille</w:t>
      </w:r>
      <w:r>
        <w:t xml:space="preserve"> Net. Dans la continuité de ces </w:t>
      </w:r>
      <w:r w:rsidRPr="00E67B91">
        <w:t>actions, elle a sensibilisé les dévelo</w:t>
      </w:r>
      <w:r>
        <w:t xml:space="preserve">ppeurs en interne aux règles de </w:t>
      </w:r>
      <w:r w:rsidRPr="00E67B91">
        <w:t xml:space="preserve">l’accessibilité numérique des outils. Les </w:t>
      </w:r>
      <w:r>
        <w:t xml:space="preserve">logiciels et autres applicatifs </w:t>
      </w:r>
      <w:r w:rsidRPr="00E67B91">
        <w:t xml:space="preserve">développés et accessibles sont mis </w:t>
      </w:r>
      <w:r>
        <w:t xml:space="preserve">à disposition en téléchargement </w:t>
      </w:r>
      <w:r w:rsidRPr="00E67B91">
        <w:t>libre sur les plateformes à destin</w:t>
      </w:r>
      <w:r>
        <w:t xml:space="preserve">ation des autres collectivités. </w:t>
      </w:r>
      <w:r w:rsidRPr="00E67B91">
        <w:t>L’accessibilité numérique est d’ailleurs systématiquement</w:t>
      </w:r>
      <w:r>
        <w:t xml:space="preserve"> l’une des </w:t>
      </w:r>
      <w:r w:rsidRPr="00E67B91">
        <w:t>thématiques des trois édit</w:t>
      </w:r>
      <w:r>
        <w:t xml:space="preserve">ions des « Rencontres mondiales </w:t>
      </w:r>
      <w:r w:rsidRPr="00E67B91">
        <w:t>décentralisées du logiciel lib</w:t>
      </w:r>
      <w:r>
        <w:t xml:space="preserve">re ». Une convention relative à </w:t>
      </w:r>
      <w:r w:rsidRPr="00E67B91">
        <w:t>l’accessibilité numérique a été si</w:t>
      </w:r>
      <w:r>
        <w:t xml:space="preserve">gnée avec le FIPHFP en 2016. Le </w:t>
      </w:r>
      <w:r w:rsidRPr="00E67B91">
        <w:t>Fonds accompagne ainsi la Ville dans l’a</w:t>
      </w:r>
      <w:r>
        <w:t xml:space="preserve">udit de son site internet et sa </w:t>
      </w:r>
      <w:r w:rsidRPr="00E67B91">
        <w:t>labellisation. Il finance également à h</w:t>
      </w:r>
      <w:r>
        <w:t xml:space="preserve">auteur de 10 000 € la formation </w:t>
      </w:r>
      <w:r w:rsidRPr="00E67B91">
        <w:t>diplômante sur l’accessibilité numériq</w:t>
      </w:r>
      <w:r>
        <w:t xml:space="preserve">ue des développeurs. L’objectif </w:t>
      </w:r>
      <w:r w:rsidRPr="00E67B91">
        <w:t xml:space="preserve">est de pouvoir atteindre le </w:t>
      </w:r>
      <w:r>
        <w:t xml:space="preserve">niveau 4 du Référentiel général </w:t>
      </w:r>
      <w:r w:rsidRPr="00E67B91">
        <w:t>d’accessibilité des administrations (RGAA).</w:t>
      </w:r>
    </w:p>
    <w:p w14:paraId="32DEDA03" w14:textId="77777777" w:rsidR="00E67B91" w:rsidRDefault="00E67B91">
      <w:pPr>
        <w:jc w:val="left"/>
      </w:pPr>
      <w:r>
        <w:br w:type="page"/>
      </w:r>
    </w:p>
    <w:p w14:paraId="5A1597C0" w14:textId="77777777" w:rsidR="00E67B91" w:rsidRPr="00E67B91" w:rsidRDefault="00E67B91" w:rsidP="00E67B91">
      <w:pPr>
        <w:pStyle w:val="Titre"/>
        <w:rPr>
          <w:b/>
          <w:sz w:val="28"/>
        </w:rPr>
      </w:pPr>
      <w:r w:rsidRPr="00E67B91">
        <w:rPr>
          <w:b/>
          <w:sz w:val="28"/>
        </w:rPr>
        <w:lastRenderedPageBreak/>
        <w:t>ANNEXE #4</w:t>
      </w:r>
    </w:p>
    <w:p w14:paraId="7A6D6E7B" w14:textId="351B17FB" w:rsidR="00E67B91" w:rsidRPr="00E67B91" w:rsidRDefault="00E67B91" w:rsidP="00E67B91">
      <w:pPr>
        <w:pStyle w:val="Titre"/>
        <w:rPr>
          <w:b/>
          <w:sz w:val="28"/>
        </w:rPr>
      </w:pPr>
      <w:r w:rsidRPr="00E67B91">
        <w:rPr>
          <w:b/>
          <w:sz w:val="28"/>
        </w:rPr>
        <w:t>DES EMPLOYEURS INVESTIS SUR L’ENSEMBLE DU TERRITOIRE</w:t>
      </w:r>
    </w:p>
    <w:p w14:paraId="53346EDA" w14:textId="2C61A0A9" w:rsidR="00E67B91" w:rsidRDefault="00E67B91" w:rsidP="00E67B91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8A8A8A"/>
          <w:szCs w:val="20"/>
        </w:rPr>
      </w:pPr>
    </w:p>
    <w:p w14:paraId="57655D90" w14:textId="0E26DA7C" w:rsidR="00E67B91" w:rsidRDefault="00E67B91" w:rsidP="00E67B91">
      <w:pPr>
        <w:pStyle w:val="Titre1"/>
        <w:rPr>
          <w:color w:val="4BACC6" w:themeColor="accent5"/>
        </w:rPr>
      </w:pPr>
      <w:r w:rsidRPr="00E67B91">
        <w:rPr>
          <w:color w:val="4BACC6" w:themeColor="accent5"/>
        </w:rPr>
        <w:t>Des initiatives au service de la valorisation de l’apprentissage</w:t>
      </w:r>
    </w:p>
    <w:p w14:paraId="03987236" w14:textId="77777777" w:rsidR="00E67B91" w:rsidRPr="00E67B91" w:rsidRDefault="00E67B91" w:rsidP="00E67B91"/>
    <w:p w14:paraId="6A21E519" w14:textId="6928F813" w:rsidR="00E67B91" w:rsidRPr="00E67B91" w:rsidRDefault="00E67B91" w:rsidP="00E67B91">
      <w:pPr>
        <w:rPr>
          <w:b/>
        </w:rPr>
      </w:pPr>
      <w:r w:rsidRPr="00E67B91">
        <w:rPr>
          <w:b/>
        </w:rPr>
        <w:t xml:space="preserve">Exemple en région Bretagne : L’Établissement public de santé mentale Guillaume </w:t>
      </w:r>
      <w:proofErr w:type="spellStart"/>
      <w:r w:rsidRPr="00E67B91">
        <w:rPr>
          <w:b/>
        </w:rPr>
        <w:t>Regnier</w:t>
      </w:r>
      <w:proofErr w:type="spellEnd"/>
    </w:p>
    <w:p w14:paraId="4CBA1E5A" w14:textId="414A53AF" w:rsidR="00E67B91" w:rsidRPr="00E67B91" w:rsidRDefault="00E67B91" w:rsidP="00E67B91">
      <w:r w:rsidRPr="00E67B91">
        <w:t xml:space="preserve">Conventionné avec le FIPHFP, </w:t>
      </w:r>
      <w:r>
        <w:t xml:space="preserve">l’Établissement a développé une </w:t>
      </w:r>
      <w:r w:rsidRPr="00E67B91">
        <w:t>véritable politique institutionnel</w:t>
      </w:r>
      <w:r>
        <w:t xml:space="preserve">le en faveur de l’apprentissage </w:t>
      </w:r>
      <w:r w:rsidRPr="00E67B91">
        <w:t xml:space="preserve">comme tremplin vers un emploi </w:t>
      </w:r>
      <w:r>
        <w:t xml:space="preserve">pérenne. Ainsi, l’établissement </w:t>
      </w:r>
      <w:r w:rsidRPr="00E67B91">
        <w:t xml:space="preserve">recrute 8 apprentis en situation de </w:t>
      </w:r>
      <w:r>
        <w:t xml:space="preserve">handicap chaque année. Issus de </w:t>
      </w:r>
      <w:r w:rsidRPr="00E67B91">
        <w:t>formations diverses (CAP / Bac</w:t>
      </w:r>
      <w:r>
        <w:t xml:space="preserve"> pro / BTS), les apprentis sont </w:t>
      </w:r>
      <w:r w:rsidRPr="00E67B91">
        <w:t xml:space="preserve">mobilisés sur des postes divers </w:t>
      </w:r>
      <w:r>
        <w:t xml:space="preserve">(postes administratifs, service </w:t>
      </w:r>
      <w:r w:rsidRPr="00E67B91">
        <w:t>hygiène…). À titre d’exemple, sur le</w:t>
      </w:r>
      <w:r>
        <w:t xml:space="preserve">s cinq contrats d'apprentissage </w:t>
      </w:r>
      <w:r w:rsidRPr="00E67B91">
        <w:t>achevés l'année dernière, quatre o</w:t>
      </w:r>
      <w:r>
        <w:t xml:space="preserve">nt été pérennisés en CDD. Parmi </w:t>
      </w:r>
      <w:r w:rsidRPr="00E67B91">
        <w:t>ceux-ci, deux personnes ont tenté le c</w:t>
      </w:r>
      <w:r>
        <w:t xml:space="preserve">oncours de la fonction publique </w:t>
      </w:r>
      <w:r w:rsidRPr="00E67B91">
        <w:t xml:space="preserve">et sont actuellement </w:t>
      </w:r>
      <w:proofErr w:type="spellStart"/>
      <w:r w:rsidRPr="00E67B91">
        <w:t>stagiair</w:t>
      </w:r>
      <w:r>
        <w:t>isé</w:t>
      </w:r>
      <w:r w:rsidRPr="00E67B91">
        <w:t>s</w:t>
      </w:r>
      <w:proofErr w:type="spellEnd"/>
      <w:r w:rsidRPr="00E67B91">
        <w:t xml:space="preserve"> en vue de titularisation.</w:t>
      </w:r>
    </w:p>
    <w:p w14:paraId="05680105" w14:textId="77777777" w:rsidR="00E67B91" w:rsidRDefault="00E67B91" w:rsidP="00E67B91"/>
    <w:p w14:paraId="1CAE17D7" w14:textId="77777777" w:rsidR="00E67B91" w:rsidRPr="00E67B91" w:rsidRDefault="00E67B91" w:rsidP="00E67B91">
      <w:pPr>
        <w:rPr>
          <w:b/>
        </w:rPr>
      </w:pPr>
      <w:r w:rsidRPr="00E67B91">
        <w:rPr>
          <w:b/>
        </w:rPr>
        <w:t>Exemple en région Normandie : La Préfecture de l’Orne</w:t>
      </w:r>
    </w:p>
    <w:p w14:paraId="529703EB" w14:textId="3A6AD136" w:rsidR="00CF42CF" w:rsidRDefault="00E67B91" w:rsidP="00E67B91">
      <w:r w:rsidRPr="00E67B91">
        <w:t xml:space="preserve">La préfecture de l’Orne est lauréate du trophée « </w:t>
      </w:r>
      <w:proofErr w:type="spellStart"/>
      <w:r w:rsidRPr="00E67B91">
        <w:t>Appr’Handi</w:t>
      </w:r>
      <w:proofErr w:type="spellEnd"/>
      <w:r w:rsidRPr="00E67B91">
        <w:t xml:space="preserve"> » de la</w:t>
      </w:r>
      <w:r>
        <w:t xml:space="preserve"> </w:t>
      </w:r>
      <w:r w:rsidRPr="00E67B91">
        <w:t>Normandie pour l’an</w:t>
      </w:r>
      <w:r>
        <w:t xml:space="preserve">née 2017. </w:t>
      </w:r>
      <w:r w:rsidRPr="00E67B91">
        <w:t xml:space="preserve">Ces </w:t>
      </w:r>
      <w:r>
        <w:t xml:space="preserve">trophées ont été décernés à des </w:t>
      </w:r>
      <w:r w:rsidRPr="00E67B91">
        <w:t>employeurs publics normands aya</w:t>
      </w:r>
      <w:r>
        <w:t xml:space="preserve">nt mis en place des dispositifs </w:t>
      </w:r>
      <w:r w:rsidRPr="00E67B91">
        <w:t>innovants en matière d’apprentis</w:t>
      </w:r>
      <w:r>
        <w:t xml:space="preserve">sage pour faciliter l’insertion </w:t>
      </w:r>
      <w:r w:rsidRPr="00E67B91">
        <w:t>professionnelle d’agents en situatio</w:t>
      </w:r>
      <w:r>
        <w:t xml:space="preserve">n de handicap. La préfecture de </w:t>
      </w:r>
      <w:r w:rsidRPr="00E67B91">
        <w:t>l’Orne s’est vue décerner le trophée</w:t>
      </w:r>
      <w:r>
        <w:t xml:space="preserve"> « </w:t>
      </w:r>
      <w:proofErr w:type="spellStart"/>
      <w:r>
        <w:t>Appr’Handi</w:t>
      </w:r>
      <w:proofErr w:type="spellEnd"/>
      <w:r>
        <w:t xml:space="preserve"> fonction publique d’État </w:t>
      </w:r>
      <w:r w:rsidRPr="00E67B91">
        <w:t xml:space="preserve">» pour récompenser son action </w:t>
      </w:r>
      <w:r>
        <w:t xml:space="preserve">en faveur de la formation et du </w:t>
      </w:r>
      <w:r w:rsidRPr="00E67B91">
        <w:t>recrutement d’apprentis bénéficiaires de l’obligation d’emploi.</w:t>
      </w:r>
      <w:r w:rsidR="00CF42CF">
        <w:t xml:space="preserve"> </w:t>
      </w:r>
    </w:p>
    <w:p w14:paraId="2EE8EA12" w14:textId="77777777" w:rsidR="00CF42CF" w:rsidRDefault="00CF42CF">
      <w:pPr>
        <w:jc w:val="left"/>
      </w:pPr>
      <w:r>
        <w:br w:type="page"/>
      </w:r>
    </w:p>
    <w:p w14:paraId="1C115C5E" w14:textId="77777777" w:rsidR="00CF42CF" w:rsidRPr="00CF42CF" w:rsidRDefault="00CF42CF" w:rsidP="00CF42CF">
      <w:pPr>
        <w:pStyle w:val="Titre"/>
        <w:rPr>
          <w:b/>
          <w:sz w:val="28"/>
        </w:rPr>
      </w:pPr>
      <w:r w:rsidRPr="00CF42CF">
        <w:rPr>
          <w:b/>
          <w:sz w:val="28"/>
        </w:rPr>
        <w:lastRenderedPageBreak/>
        <w:t>ANNEXE #5</w:t>
      </w:r>
    </w:p>
    <w:p w14:paraId="6F53D7E0" w14:textId="5E4EACBB" w:rsidR="00CF42CF" w:rsidRPr="00CF42CF" w:rsidRDefault="00CF42CF" w:rsidP="00CF42CF">
      <w:pPr>
        <w:pStyle w:val="Titre"/>
        <w:rPr>
          <w:b/>
          <w:sz w:val="28"/>
        </w:rPr>
      </w:pPr>
      <w:r w:rsidRPr="00CF42CF">
        <w:rPr>
          <w:b/>
          <w:sz w:val="28"/>
        </w:rPr>
        <w:t>DES EMPLOYEURS INVESTIS</w:t>
      </w:r>
      <w:r>
        <w:rPr>
          <w:b/>
          <w:sz w:val="28"/>
        </w:rPr>
        <w:t xml:space="preserve"> </w:t>
      </w:r>
      <w:r w:rsidRPr="00CF42CF">
        <w:rPr>
          <w:b/>
          <w:sz w:val="28"/>
        </w:rPr>
        <w:t>SUR L’ENSEMBLE DU TERRITOIRE</w:t>
      </w:r>
    </w:p>
    <w:p w14:paraId="00297CD5" w14:textId="77777777" w:rsidR="00CF42CF" w:rsidRDefault="00CF42CF" w:rsidP="00CF42C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8A8A8A"/>
          <w:szCs w:val="20"/>
        </w:rPr>
      </w:pPr>
    </w:p>
    <w:p w14:paraId="5ABC08CE" w14:textId="26E1BDEB" w:rsidR="00CF42CF" w:rsidRPr="00CF42CF" w:rsidRDefault="00CF42CF" w:rsidP="00CF42CF">
      <w:pPr>
        <w:pStyle w:val="Titre1"/>
      </w:pPr>
      <w:r w:rsidRPr="00CF42CF">
        <w:t>Des initiatives au service de la formation</w:t>
      </w:r>
      <w:r>
        <w:t xml:space="preserve"> p</w:t>
      </w:r>
      <w:r w:rsidRPr="00CF42CF">
        <w:t>rofessionnelle et de la sensibilisation des agents</w:t>
      </w:r>
    </w:p>
    <w:p w14:paraId="2E628819" w14:textId="77777777" w:rsidR="00CF42CF" w:rsidRDefault="00CF42CF" w:rsidP="00CF42CF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1"/>
          <w:szCs w:val="21"/>
        </w:rPr>
      </w:pPr>
    </w:p>
    <w:p w14:paraId="00E56760" w14:textId="2673241C" w:rsidR="00CF42CF" w:rsidRPr="00CF42CF" w:rsidRDefault="00CF42CF" w:rsidP="00CF42CF">
      <w:pPr>
        <w:rPr>
          <w:b/>
        </w:rPr>
      </w:pPr>
      <w:r w:rsidRPr="00CF42CF">
        <w:rPr>
          <w:b/>
        </w:rPr>
        <w:t>Exemple en région PACA : La Métropole de Nice</w:t>
      </w:r>
    </w:p>
    <w:p w14:paraId="3FBA830C" w14:textId="42423175" w:rsidR="00CF42CF" w:rsidRPr="00CF42CF" w:rsidRDefault="00CF42CF" w:rsidP="00CF42CF">
      <w:r w:rsidRPr="00CF42CF">
        <w:t>La Métropole de Nice a poursuivi sa politique volontariste en</w:t>
      </w:r>
      <w:r>
        <w:t xml:space="preserve"> </w:t>
      </w:r>
      <w:r w:rsidRPr="00CF42CF">
        <w:t>organisant plusieurs temps forts de formation et de sensibilisation</w:t>
      </w:r>
      <w:r>
        <w:t xml:space="preserve"> </w:t>
      </w:r>
      <w:r w:rsidRPr="00CF42CF">
        <w:t>des collectifs de travail. Un « team building » de sensibilisation des</w:t>
      </w:r>
      <w:r>
        <w:t xml:space="preserve"> </w:t>
      </w:r>
      <w:r w:rsidRPr="00CF42CF">
        <w:t xml:space="preserve">« </w:t>
      </w:r>
      <w:proofErr w:type="spellStart"/>
      <w:r w:rsidRPr="00CF42CF">
        <w:t>Very</w:t>
      </w:r>
      <w:proofErr w:type="spellEnd"/>
      <w:r w:rsidRPr="00CF42CF">
        <w:t xml:space="preserve"> important </w:t>
      </w:r>
      <w:proofErr w:type="spellStart"/>
      <w:r w:rsidRPr="00CF42CF">
        <w:t>chiefs</w:t>
      </w:r>
      <w:proofErr w:type="spellEnd"/>
      <w:r w:rsidRPr="00CF42CF">
        <w:t xml:space="preserve"> », les directeurs généraux adjoints des</w:t>
      </w:r>
      <w:r>
        <w:t xml:space="preserve"> </w:t>
      </w:r>
      <w:r w:rsidRPr="00CF42CF">
        <w:t>services, a été organisé au sein d’une entreprise adaptée. Il s’agissait</w:t>
      </w:r>
      <w:r>
        <w:t xml:space="preserve"> </w:t>
      </w:r>
      <w:r w:rsidRPr="00CF42CF">
        <w:t>pour eux de réaliser un journal télévisé avec des interviews d’agents</w:t>
      </w:r>
      <w:r>
        <w:t xml:space="preserve"> </w:t>
      </w:r>
      <w:r w:rsidRPr="00CF42CF">
        <w:t>et de salariés en situation de handicap. Ce journal a été filmé et</w:t>
      </w:r>
      <w:r>
        <w:t xml:space="preserve"> </w:t>
      </w:r>
      <w:r w:rsidRPr="00CF42CF">
        <w:t>diffusé sur l’intranet.</w:t>
      </w:r>
    </w:p>
    <w:p w14:paraId="00703976" w14:textId="77777777" w:rsidR="00CF42CF" w:rsidRDefault="00CF42CF" w:rsidP="00CF42CF"/>
    <w:p w14:paraId="1546BE4C" w14:textId="32156502" w:rsidR="00CF42CF" w:rsidRPr="00CF42CF" w:rsidRDefault="00CF42CF" w:rsidP="00CF42CF">
      <w:pPr>
        <w:rPr>
          <w:b/>
        </w:rPr>
      </w:pPr>
      <w:r w:rsidRPr="00CF42CF">
        <w:rPr>
          <w:b/>
        </w:rPr>
        <w:t>Exemple en région Normandie : Le Centre hospitalier de Fécamp</w:t>
      </w:r>
    </w:p>
    <w:p w14:paraId="1E3A375E" w14:textId="1373D3DE" w:rsidR="00EF476F" w:rsidRPr="00CF42CF" w:rsidRDefault="00CF42CF" w:rsidP="00CF42CF">
      <w:r w:rsidRPr="00CF42CF">
        <w:t>Le Centre hospitalier intercommunal des Hautes-Falaises de Fécamp</w:t>
      </w:r>
      <w:r>
        <w:t xml:space="preserve"> </w:t>
      </w:r>
      <w:r w:rsidRPr="00CF42CF">
        <w:t>a organisé une journée de sensibilisation aux handicaps. Cette action,</w:t>
      </w:r>
      <w:r>
        <w:t xml:space="preserve"> </w:t>
      </w:r>
      <w:r w:rsidRPr="00CF42CF">
        <w:t>« Vivre avec son Handicap au travail », s’inscrivait dans le cadre de la</w:t>
      </w:r>
      <w:r>
        <w:t xml:space="preserve"> </w:t>
      </w:r>
      <w:r w:rsidRPr="00CF42CF">
        <w:t>convention triennale signée avec le FIPHFP. Les personnels ont pu se</w:t>
      </w:r>
      <w:r>
        <w:t xml:space="preserve"> </w:t>
      </w:r>
      <w:r w:rsidRPr="00CF42CF">
        <w:t>mettre dans la peau de la cinquantaine d’agents en situation de</w:t>
      </w:r>
      <w:r>
        <w:t xml:space="preserve"> </w:t>
      </w:r>
      <w:r w:rsidRPr="00CF42CF">
        <w:t>handicap que compte l’hôpital dans ses effectifs en testant leurs</w:t>
      </w:r>
      <w:r>
        <w:t xml:space="preserve"> </w:t>
      </w:r>
      <w:r w:rsidRPr="00CF42CF">
        <w:t>capacités à travers différents ateliers : écrire avec un poids au bras ou</w:t>
      </w:r>
      <w:r>
        <w:t xml:space="preserve"> </w:t>
      </w:r>
      <w:r w:rsidRPr="00CF42CF">
        <w:t>un élastique simulant les troubles musculaires, ou encore marcher</w:t>
      </w:r>
      <w:r>
        <w:t xml:space="preserve"> </w:t>
      </w:r>
      <w:r w:rsidRPr="00CF42CF">
        <w:t>avec des lunettes dans les mêmes conditions qu’une personne</w:t>
      </w:r>
      <w:r>
        <w:t xml:space="preserve"> </w:t>
      </w:r>
      <w:r w:rsidRPr="00CF42CF">
        <w:t>malvoyante.</w:t>
      </w:r>
    </w:p>
    <w:p w14:paraId="27E06D4F" w14:textId="77777777" w:rsidR="009F7190" w:rsidRPr="00E67B91" w:rsidRDefault="009F7190" w:rsidP="00E67B91"/>
    <w:sectPr w:rsidR="009F7190" w:rsidRPr="00E67B91" w:rsidSect="00BF7D95">
      <w:headerReference w:type="default" r:id="rId12"/>
      <w:type w:val="continuous"/>
      <w:pgSz w:w="11900" w:h="16840"/>
      <w:pgMar w:top="1701" w:right="1417" w:bottom="124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5F363E" w14:textId="77777777" w:rsidR="00C40F76" w:rsidRDefault="00C40F76" w:rsidP="0045579E">
      <w:r>
        <w:separator/>
      </w:r>
    </w:p>
  </w:endnote>
  <w:endnote w:type="continuationSeparator" w:id="0">
    <w:p w14:paraId="34EB5899" w14:textId="77777777" w:rsidR="00C40F76" w:rsidRDefault="00C40F76" w:rsidP="00455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 Neue">
    <w:altName w:val="Malgun Gothic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adeGothic Bold">
    <w:altName w:val="Cambria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Helvetica Neue LT">
    <w:altName w:val="Helvetica Neue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D8ED" w14:textId="77777777" w:rsidR="00C40F76" w:rsidRDefault="00C40F76" w:rsidP="0045579E">
      <w:r>
        <w:separator/>
      </w:r>
    </w:p>
  </w:footnote>
  <w:footnote w:type="continuationSeparator" w:id="0">
    <w:p w14:paraId="0E8C0BCD" w14:textId="77777777" w:rsidR="00C40F76" w:rsidRDefault="00C40F76" w:rsidP="00455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84F468" w14:textId="08D81879" w:rsidR="00E67B91" w:rsidRDefault="00E67B91" w:rsidP="00CE5019">
    <w:pPr>
      <w:jc w:val="left"/>
    </w:pPr>
    <w:r>
      <w:t>28 juin 2018</w:t>
    </w:r>
  </w:p>
  <w:p w14:paraId="63380788" w14:textId="07591F20" w:rsidR="00E67B91" w:rsidRDefault="00E67B91" w:rsidP="00CE5019">
    <w:pPr>
      <w:jc w:val="righ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603D3"/>
    <w:multiLevelType w:val="hybridMultilevel"/>
    <w:tmpl w:val="8CC612EC"/>
    <w:lvl w:ilvl="0" w:tplc="F68AA766"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EC2174"/>
    <w:multiLevelType w:val="hybridMultilevel"/>
    <w:tmpl w:val="3D6A7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6F2A27"/>
    <w:multiLevelType w:val="hybridMultilevel"/>
    <w:tmpl w:val="A70036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607BE"/>
    <w:multiLevelType w:val="hybridMultilevel"/>
    <w:tmpl w:val="8D3A6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1207EF"/>
    <w:multiLevelType w:val="hybridMultilevel"/>
    <w:tmpl w:val="21A29F3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3566F3"/>
    <w:multiLevelType w:val="hybridMultilevel"/>
    <w:tmpl w:val="A34AD7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2B799F"/>
    <w:multiLevelType w:val="hybridMultilevel"/>
    <w:tmpl w:val="9BACC2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808080" w:themeColor="background1" w:themeShade="8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644DEF"/>
    <w:multiLevelType w:val="hybridMultilevel"/>
    <w:tmpl w:val="AD4CD19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BC0A2D"/>
    <w:multiLevelType w:val="hybridMultilevel"/>
    <w:tmpl w:val="0590AC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D94719"/>
    <w:multiLevelType w:val="hybridMultilevel"/>
    <w:tmpl w:val="9288D0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1A0307"/>
    <w:multiLevelType w:val="hybridMultilevel"/>
    <w:tmpl w:val="C400C32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2B33A8"/>
    <w:multiLevelType w:val="hybridMultilevel"/>
    <w:tmpl w:val="A9407BE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9340C4"/>
    <w:multiLevelType w:val="hybridMultilevel"/>
    <w:tmpl w:val="3B6CFD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03114"/>
    <w:multiLevelType w:val="hybridMultilevel"/>
    <w:tmpl w:val="B2760BFC"/>
    <w:lvl w:ilvl="0" w:tplc="05EC7F58">
      <w:start w:val="544"/>
      <w:numFmt w:val="bullet"/>
      <w:lvlText w:val="-"/>
      <w:lvlJc w:val="left"/>
      <w:pPr>
        <w:ind w:left="720" w:hanging="360"/>
      </w:pPr>
      <w:rPr>
        <w:rFonts w:ascii="Helvetica Neue" w:eastAsiaTheme="minorEastAsia" w:hAnsi="Helvetica Neue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2D6C4C"/>
    <w:multiLevelType w:val="hybridMultilevel"/>
    <w:tmpl w:val="E732F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02C21"/>
    <w:multiLevelType w:val="hybridMultilevel"/>
    <w:tmpl w:val="2FB8FA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4"/>
  </w:num>
  <w:num w:numId="3">
    <w:abstractNumId w:val="3"/>
  </w:num>
  <w:num w:numId="4">
    <w:abstractNumId w:val="9"/>
  </w:num>
  <w:num w:numId="5">
    <w:abstractNumId w:val="5"/>
  </w:num>
  <w:num w:numId="6">
    <w:abstractNumId w:val="15"/>
  </w:num>
  <w:num w:numId="7">
    <w:abstractNumId w:val="2"/>
  </w:num>
  <w:num w:numId="8">
    <w:abstractNumId w:val="12"/>
  </w:num>
  <w:num w:numId="9">
    <w:abstractNumId w:val="6"/>
  </w:num>
  <w:num w:numId="10">
    <w:abstractNumId w:val="1"/>
  </w:num>
  <w:num w:numId="11">
    <w:abstractNumId w:val="0"/>
  </w:num>
  <w:num w:numId="12">
    <w:abstractNumId w:val="10"/>
  </w:num>
  <w:num w:numId="13">
    <w:abstractNumId w:val="11"/>
  </w:num>
  <w:num w:numId="14">
    <w:abstractNumId w:val="4"/>
  </w:num>
  <w:num w:numId="15">
    <w:abstractNumId w:val="13"/>
  </w:num>
  <w:num w:numId="16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F9"/>
    <w:rsid w:val="000063B1"/>
    <w:rsid w:val="00007EE6"/>
    <w:rsid w:val="000116B4"/>
    <w:rsid w:val="000131C6"/>
    <w:rsid w:val="000170E3"/>
    <w:rsid w:val="00020B24"/>
    <w:rsid w:val="00021389"/>
    <w:rsid w:val="00022E78"/>
    <w:rsid w:val="00027AFB"/>
    <w:rsid w:val="00027B37"/>
    <w:rsid w:val="00031230"/>
    <w:rsid w:val="00033F8B"/>
    <w:rsid w:val="00035E97"/>
    <w:rsid w:val="00040EAB"/>
    <w:rsid w:val="00041752"/>
    <w:rsid w:val="00045EED"/>
    <w:rsid w:val="00046EF3"/>
    <w:rsid w:val="000479BB"/>
    <w:rsid w:val="000507D0"/>
    <w:rsid w:val="00053E41"/>
    <w:rsid w:val="00055277"/>
    <w:rsid w:val="0005578F"/>
    <w:rsid w:val="00060368"/>
    <w:rsid w:val="00060864"/>
    <w:rsid w:val="0006441D"/>
    <w:rsid w:val="00067EFB"/>
    <w:rsid w:val="00070C6A"/>
    <w:rsid w:val="00074B64"/>
    <w:rsid w:val="00075AEA"/>
    <w:rsid w:val="000813D4"/>
    <w:rsid w:val="00081B48"/>
    <w:rsid w:val="0009255C"/>
    <w:rsid w:val="0009379B"/>
    <w:rsid w:val="00095924"/>
    <w:rsid w:val="000A4301"/>
    <w:rsid w:val="000A4463"/>
    <w:rsid w:val="000A640A"/>
    <w:rsid w:val="000B368B"/>
    <w:rsid w:val="000B385C"/>
    <w:rsid w:val="000B60C3"/>
    <w:rsid w:val="000B6130"/>
    <w:rsid w:val="000C09A6"/>
    <w:rsid w:val="000C2B81"/>
    <w:rsid w:val="000D1035"/>
    <w:rsid w:val="000D4296"/>
    <w:rsid w:val="000D47CA"/>
    <w:rsid w:val="000E3DCC"/>
    <w:rsid w:val="000E5860"/>
    <w:rsid w:val="000F16F1"/>
    <w:rsid w:val="000F1DE3"/>
    <w:rsid w:val="00101CBF"/>
    <w:rsid w:val="001022EF"/>
    <w:rsid w:val="001024B7"/>
    <w:rsid w:val="0010498F"/>
    <w:rsid w:val="00106EFD"/>
    <w:rsid w:val="00107B9F"/>
    <w:rsid w:val="00110D3B"/>
    <w:rsid w:val="001213A0"/>
    <w:rsid w:val="00122B61"/>
    <w:rsid w:val="001269F8"/>
    <w:rsid w:val="001274A1"/>
    <w:rsid w:val="00130119"/>
    <w:rsid w:val="00132CE7"/>
    <w:rsid w:val="001339D1"/>
    <w:rsid w:val="00136F93"/>
    <w:rsid w:val="0014409B"/>
    <w:rsid w:val="00145738"/>
    <w:rsid w:val="00147CA2"/>
    <w:rsid w:val="0015147D"/>
    <w:rsid w:val="0015697F"/>
    <w:rsid w:val="00157ACA"/>
    <w:rsid w:val="0016004B"/>
    <w:rsid w:val="00165922"/>
    <w:rsid w:val="00167969"/>
    <w:rsid w:val="00170F23"/>
    <w:rsid w:val="00171D35"/>
    <w:rsid w:val="00171DD2"/>
    <w:rsid w:val="001779D8"/>
    <w:rsid w:val="001858CF"/>
    <w:rsid w:val="001921E5"/>
    <w:rsid w:val="00195D78"/>
    <w:rsid w:val="001A237C"/>
    <w:rsid w:val="001A486C"/>
    <w:rsid w:val="001B10F4"/>
    <w:rsid w:val="001B20F2"/>
    <w:rsid w:val="001B291C"/>
    <w:rsid w:val="001B4A2F"/>
    <w:rsid w:val="001C036D"/>
    <w:rsid w:val="001C0BC6"/>
    <w:rsid w:val="001C34C4"/>
    <w:rsid w:val="001C5489"/>
    <w:rsid w:val="001C74E5"/>
    <w:rsid w:val="001D0EC4"/>
    <w:rsid w:val="001D1E93"/>
    <w:rsid w:val="001D415F"/>
    <w:rsid w:val="001D68F0"/>
    <w:rsid w:val="001E2DEF"/>
    <w:rsid w:val="001E50A5"/>
    <w:rsid w:val="001E74F2"/>
    <w:rsid w:val="001F08DF"/>
    <w:rsid w:val="001F2100"/>
    <w:rsid w:val="001F2693"/>
    <w:rsid w:val="001F26CF"/>
    <w:rsid w:val="001F29DF"/>
    <w:rsid w:val="001F3EAF"/>
    <w:rsid w:val="001F686A"/>
    <w:rsid w:val="00201A28"/>
    <w:rsid w:val="00202752"/>
    <w:rsid w:val="00207E54"/>
    <w:rsid w:val="00216457"/>
    <w:rsid w:val="002201A8"/>
    <w:rsid w:val="00224A03"/>
    <w:rsid w:val="002251E8"/>
    <w:rsid w:val="00231E7B"/>
    <w:rsid w:val="0024235D"/>
    <w:rsid w:val="002441B8"/>
    <w:rsid w:val="002446DD"/>
    <w:rsid w:val="0024771C"/>
    <w:rsid w:val="00253BD8"/>
    <w:rsid w:val="00256F09"/>
    <w:rsid w:val="0026251F"/>
    <w:rsid w:val="00264413"/>
    <w:rsid w:val="00265D26"/>
    <w:rsid w:val="002743D7"/>
    <w:rsid w:val="00276B42"/>
    <w:rsid w:val="002772E4"/>
    <w:rsid w:val="00280726"/>
    <w:rsid w:val="00282533"/>
    <w:rsid w:val="00286DFC"/>
    <w:rsid w:val="00287899"/>
    <w:rsid w:val="0029116C"/>
    <w:rsid w:val="00292249"/>
    <w:rsid w:val="00294189"/>
    <w:rsid w:val="00294E41"/>
    <w:rsid w:val="002A34D8"/>
    <w:rsid w:val="002A3BD3"/>
    <w:rsid w:val="002B1471"/>
    <w:rsid w:val="002B6BE9"/>
    <w:rsid w:val="002C2875"/>
    <w:rsid w:val="002C3042"/>
    <w:rsid w:val="002C61C0"/>
    <w:rsid w:val="002D268E"/>
    <w:rsid w:val="002D63CC"/>
    <w:rsid w:val="002D70CC"/>
    <w:rsid w:val="002E2673"/>
    <w:rsid w:val="002E29E7"/>
    <w:rsid w:val="002E31E8"/>
    <w:rsid w:val="002E390B"/>
    <w:rsid w:val="002E4361"/>
    <w:rsid w:val="002E5C2B"/>
    <w:rsid w:val="002E683E"/>
    <w:rsid w:val="002E68AB"/>
    <w:rsid w:val="002F06E5"/>
    <w:rsid w:val="002F4942"/>
    <w:rsid w:val="002F655F"/>
    <w:rsid w:val="003011D3"/>
    <w:rsid w:val="00301DEB"/>
    <w:rsid w:val="00302933"/>
    <w:rsid w:val="00305528"/>
    <w:rsid w:val="0030555A"/>
    <w:rsid w:val="00307ABC"/>
    <w:rsid w:val="003110C8"/>
    <w:rsid w:val="003123E6"/>
    <w:rsid w:val="003167B5"/>
    <w:rsid w:val="003200D1"/>
    <w:rsid w:val="003208B5"/>
    <w:rsid w:val="00323B15"/>
    <w:rsid w:val="00324419"/>
    <w:rsid w:val="00324A80"/>
    <w:rsid w:val="00324E93"/>
    <w:rsid w:val="0033005F"/>
    <w:rsid w:val="003313D1"/>
    <w:rsid w:val="0033352E"/>
    <w:rsid w:val="00335689"/>
    <w:rsid w:val="003368C1"/>
    <w:rsid w:val="0034107A"/>
    <w:rsid w:val="00347240"/>
    <w:rsid w:val="00350C91"/>
    <w:rsid w:val="00352FB0"/>
    <w:rsid w:val="00357FEE"/>
    <w:rsid w:val="003600B4"/>
    <w:rsid w:val="00361F6F"/>
    <w:rsid w:val="00364DE3"/>
    <w:rsid w:val="003673BE"/>
    <w:rsid w:val="00370427"/>
    <w:rsid w:val="003748B3"/>
    <w:rsid w:val="00380045"/>
    <w:rsid w:val="0038122E"/>
    <w:rsid w:val="00382A59"/>
    <w:rsid w:val="003868EC"/>
    <w:rsid w:val="00386D4F"/>
    <w:rsid w:val="0039265E"/>
    <w:rsid w:val="00395479"/>
    <w:rsid w:val="00397E51"/>
    <w:rsid w:val="003A0BE8"/>
    <w:rsid w:val="003A411B"/>
    <w:rsid w:val="003A5074"/>
    <w:rsid w:val="003A6335"/>
    <w:rsid w:val="003A74DD"/>
    <w:rsid w:val="003B2F5C"/>
    <w:rsid w:val="003C304B"/>
    <w:rsid w:val="003C36DC"/>
    <w:rsid w:val="003C621E"/>
    <w:rsid w:val="003C64BB"/>
    <w:rsid w:val="003D396D"/>
    <w:rsid w:val="003D49C2"/>
    <w:rsid w:val="003D5BEC"/>
    <w:rsid w:val="003D5D6E"/>
    <w:rsid w:val="003D7D4C"/>
    <w:rsid w:val="003E3A73"/>
    <w:rsid w:val="003E69E4"/>
    <w:rsid w:val="003F20E4"/>
    <w:rsid w:val="004025C5"/>
    <w:rsid w:val="00405FA9"/>
    <w:rsid w:val="00412A0D"/>
    <w:rsid w:val="00412D79"/>
    <w:rsid w:val="00413C88"/>
    <w:rsid w:val="00414BB4"/>
    <w:rsid w:val="00414CCD"/>
    <w:rsid w:val="00414D5D"/>
    <w:rsid w:val="00414F41"/>
    <w:rsid w:val="00421185"/>
    <w:rsid w:val="00422934"/>
    <w:rsid w:val="00423731"/>
    <w:rsid w:val="004261F8"/>
    <w:rsid w:val="0043348E"/>
    <w:rsid w:val="0043401F"/>
    <w:rsid w:val="00441BA0"/>
    <w:rsid w:val="00441CC9"/>
    <w:rsid w:val="004423A4"/>
    <w:rsid w:val="00454E3B"/>
    <w:rsid w:val="0045579E"/>
    <w:rsid w:val="00455876"/>
    <w:rsid w:val="004621A1"/>
    <w:rsid w:val="00465AA2"/>
    <w:rsid w:val="00475A1F"/>
    <w:rsid w:val="00475CAA"/>
    <w:rsid w:val="00475F22"/>
    <w:rsid w:val="004764C6"/>
    <w:rsid w:val="004850CE"/>
    <w:rsid w:val="00487618"/>
    <w:rsid w:val="00490391"/>
    <w:rsid w:val="00492C12"/>
    <w:rsid w:val="00492D53"/>
    <w:rsid w:val="00493C4E"/>
    <w:rsid w:val="00495DEB"/>
    <w:rsid w:val="00496877"/>
    <w:rsid w:val="004A1960"/>
    <w:rsid w:val="004B3458"/>
    <w:rsid w:val="004B782F"/>
    <w:rsid w:val="004C3914"/>
    <w:rsid w:val="004C6816"/>
    <w:rsid w:val="004D09B4"/>
    <w:rsid w:val="004D1191"/>
    <w:rsid w:val="004D2389"/>
    <w:rsid w:val="004D4745"/>
    <w:rsid w:val="004D5A5E"/>
    <w:rsid w:val="004E18FC"/>
    <w:rsid w:val="004F475C"/>
    <w:rsid w:val="004F61F0"/>
    <w:rsid w:val="004F73E9"/>
    <w:rsid w:val="00506386"/>
    <w:rsid w:val="00506728"/>
    <w:rsid w:val="00507DA2"/>
    <w:rsid w:val="00511349"/>
    <w:rsid w:val="00516508"/>
    <w:rsid w:val="0051790B"/>
    <w:rsid w:val="00517C35"/>
    <w:rsid w:val="00525C32"/>
    <w:rsid w:val="00526AAC"/>
    <w:rsid w:val="00527E47"/>
    <w:rsid w:val="00531ADC"/>
    <w:rsid w:val="00532A8E"/>
    <w:rsid w:val="005336E5"/>
    <w:rsid w:val="005359D1"/>
    <w:rsid w:val="00535CDB"/>
    <w:rsid w:val="005575DF"/>
    <w:rsid w:val="005707FB"/>
    <w:rsid w:val="005716AC"/>
    <w:rsid w:val="0057216E"/>
    <w:rsid w:val="005731FA"/>
    <w:rsid w:val="00577528"/>
    <w:rsid w:val="005825C8"/>
    <w:rsid w:val="00587523"/>
    <w:rsid w:val="00593725"/>
    <w:rsid w:val="0059780E"/>
    <w:rsid w:val="005C2BC4"/>
    <w:rsid w:val="005C732B"/>
    <w:rsid w:val="005D24B7"/>
    <w:rsid w:val="005D33A9"/>
    <w:rsid w:val="005D5FF5"/>
    <w:rsid w:val="005D644B"/>
    <w:rsid w:val="005E357D"/>
    <w:rsid w:val="005E3CFB"/>
    <w:rsid w:val="005F1F36"/>
    <w:rsid w:val="005F501C"/>
    <w:rsid w:val="005F519C"/>
    <w:rsid w:val="005F7DE3"/>
    <w:rsid w:val="00600005"/>
    <w:rsid w:val="00611186"/>
    <w:rsid w:val="00617C11"/>
    <w:rsid w:val="00617D78"/>
    <w:rsid w:val="006207B0"/>
    <w:rsid w:val="006211FA"/>
    <w:rsid w:val="00624565"/>
    <w:rsid w:val="00624DF7"/>
    <w:rsid w:val="00625AC3"/>
    <w:rsid w:val="00626F42"/>
    <w:rsid w:val="006313B4"/>
    <w:rsid w:val="006316C7"/>
    <w:rsid w:val="006320EF"/>
    <w:rsid w:val="006360B8"/>
    <w:rsid w:val="006371D0"/>
    <w:rsid w:val="00637585"/>
    <w:rsid w:val="00643B3D"/>
    <w:rsid w:val="00647E90"/>
    <w:rsid w:val="00651A60"/>
    <w:rsid w:val="006525CC"/>
    <w:rsid w:val="006530C1"/>
    <w:rsid w:val="00653704"/>
    <w:rsid w:val="00653B57"/>
    <w:rsid w:val="00655693"/>
    <w:rsid w:val="0065575D"/>
    <w:rsid w:val="0066049D"/>
    <w:rsid w:val="00663452"/>
    <w:rsid w:val="00663B4D"/>
    <w:rsid w:val="006672A0"/>
    <w:rsid w:val="00671DCA"/>
    <w:rsid w:val="00673E56"/>
    <w:rsid w:val="0067409A"/>
    <w:rsid w:val="00674891"/>
    <w:rsid w:val="0068366A"/>
    <w:rsid w:val="00696544"/>
    <w:rsid w:val="00697812"/>
    <w:rsid w:val="006A4356"/>
    <w:rsid w:val="006B3559"/>
    <w:rsid w:val="006B3EB5"/>
    <w:rsid w:val="006B4280"/>
    <w:rsid w:val="006B6F3B"/>
    <w:rsid w:val="006B719F"/>
    <w:rsid w:val="006B7939"/>
    <w:rsid w:val="006C0388"/>
    <w:rsid w:val="006C2456"/>
    <w:rsid w:val="006C3326"/>
    <w:rsid w:val="006C7F4E"/>
    <w:rsid w:val="006D4AAA"/>
    <w:rsid w:val="006E1A44"/>
    <w:rsid w:val="006E4016"/>
    <w:rsid w:val="006E5161"/>
    <w:rsid w:val="006E783D"/>
    <w:rsid w:val="006F3928"/>
    <w:rsid w:val="006F575B"/>
    <w:rsid w:val="006F7DD0"/>
    <w:rsid w:val="006F7DF8"/>
    <w:rsid w:val="007015E8"/>
    <w:rsid w:val="0070496B"/>
    <w:rsid w:val="00706330"/>
    <w:rsid w:val="007075AB"/>
    <w:rsid w:val="00707758"/>
    <w:rsid w:val="007136D9"/>
    <w:rsid w:val="00715226"/>
    <w:rsid w:val="007152A7"/>
    <w:rsid w:val="007256FB"/>
    <w:rsid w:val="00726710"/>
    <w:rsid w:val="00733044"/>
    <w:rsid w:val="007413B8"/>
    <w:rsid w:val="00747677"/>
    <w:rsid w:val="00751B48"/>
    <w:rsid w:val="00752E1E"/>
    <w:rsid w:val="007549D3"/>
    <w:rsid w:val="00766113"/>
    <w:rsid w:val="00766A8C"/>
    <w:rsid w:val="00772A50"/>
    <w:rsid w:val="00772CBC"/>
    <w:rsid w:val="0077694C"/>
    <w:rsid w:val="007806C1"/>
    <w:rsid w:val="00783DF0"/>
    <w:rsid w:val="00787BD2"/>
    <w:rsid w:val="00791B37"/>
    <w:rsid w:val="00794D89"/>
    <w:rsid w:val="00797ABB"/>
    <w:rsid w:val="007A173B"/>
    <w:rsid w:val="007A749F"/>
    <w:rsid w:val="007C49D3"/>
    <w:rsid w:val="007C4F21"/>
    <w:rsid w:val="007C5FC5"/>
    <w:rsid w:val="007C6753"/>
    <w:rsid w:val="007D00A2"/>
    <w:rsid w:val="007E55B7"/>
    <w:rsid w:val="00806971"/>
    <w:rsid w:val="0081539D"/>
    <w:rsid w:val="008160E7"/>
    <w:rsid w:val="0081720B"/>
    <w:rsid w:val="008200A4"/>
    <w:rsid w:val="00821243"/>
    <w:rsid w:val="008332EC"/>
    <w:rsid w:val="00834605"/>
    <w:rsid w:val="00840F29"/>
    <w:rsid w:val="008439A9"/>
    <w:rsid w:val="0084691F"/>
    <w:rsid w:val="00847FFC"/>
    <w:rsid w:val="00855C89"/>
    <w:rsid w:val="00856438"/>
    <w:rsid w:val="0086181C"/>
    <w:rsid w:val="008644D0"/>
    <w:rsid w:val="00872C23"/>
    <w:rsid w:val="00873A72"/>
    <w:rsid w:val="00874D4B"/>
    <w:rsid w:val="00876EEA"/>
    <w:rsid w:val="008830B4"/>
    <w:rsid w:val="0088463D"/>
    <w:rsid w:val="008851DB"/>
    <w:rsid w:val="008A59C8"/>
    <w:rsid w:val="008B201B"/>
    <w:rsid w:val="008B3200"/>
    <w:rsid w:val="008B332E"/>
    <w:rsid w:val="008B4857"/>
    <w:rsid w:val="008B5BDB"/>
    <w:rsid w:val="008B5C71"/>
    <w:rsid w:val="008B7595"/>
    <w:rsid w:val="008C5A24"/>
    <w:rsid w:val="008C5D8E"/>
    <w:rsid w:val="008D1FB3"/>
    <w:rsid w:val="008D7C77"/>
    <w:rsid w:val="008E59F3"/>
    <w:rsid w:val="008F3610"/>
    <w:rsid w:val="008F484D"/>
    <w:rsid w:val="009004C3"/>
    <w:rsid w:val="00900E3B"/>
    <w:rsid w:val="009054E0"/>
    <w:rsid w:val="00907D46"/>
    <w:rsid w:val="00912825"/>
    <w:rsid w:val="0091334E"/>
    <w:rsid w:val="00915E79"/>
    <w:rsid w:val="00925996"/>
    <w:rsid w:val="009259A5"/>
    <w:rsid w:val="00931376"/>
    <w:rsid w:val="009328B0"/>
    <w:rsid w:val="00933749"/>
    <w:rsid w:val="00937DA1"/>
    <w:rsid w:val="0094602E"/>
    <w:rsid w:val="00952F40"/>
    <w:rsid w:val="00955BF9"/>
    <w:rsid w:val="00962BA4"/>
    <w:rsid w:val="00966793"/>
    <w:rsid w:val="009830F5"/>
    <w:rsid w:val="00984B32"/>
    <w:rsid w:val="009A5F9F"/>
    <w:rsid w:val="009A62C2"/>
    <w:rsid w:val="009C13CF"/>
    <w:rsid w:val="009C2026"/>
    <w:rsid w:val="009D1FD0"/>
    <w:rsid w:val="009D21C4"/>
    <w:rsid w:val="009D292B"/>
    <w:rsid w:val="009D378B"/>
    <w:rsid w:val="009D59CA"/>
    <w:rsid w:val="009D7F28"/>
    <w:rsid w:val="009E0828"/>
    <w:rsid w:val="009F1F07"/>
    <w:rsid w:val="009F5C77"/>
    <w:rsid w:val="009F7190"/>
    <w:rsid w:val="00A012CF"/>
    <w:rsid w:val="00A07290"/>
    <w:rsid w:val="00A10EB0"/>
    <w:rsid w:val="00A128D7"/>
    <w:rsid w:val="00A1534F"/>
    <w:rsid w:val="00A15AB0"/>
    <w:rsid w:val="00A2060F"/>
    <w:rsid w:val="00A234A1"/>
    <w:rsid w:val="00A2379A"/>
    <w:rsid w:val="00A255F4"/>
    <w:rsid w:val="00A30665"/>
    <w:rsid w:val="00A307C5"/>
    <w:rsid w:val="00A32A6F"/>
    <w:rsid w:val="00A333DE"/>
    <w:rsid w:val="00A338CB"/>
    <w:rsid w:val="00A3689B"/>
    <w:rsid w:val="00A36B15"/>
    <w:rsid w:val="00A5113C"/>
    <w:rsid w:val="00A52592"/>
    <w:rsid w:val="00A564F2"/>
    <w:rsid w:val="00A5752E"/>
    <w:rsid w:val="00A614FD"/>
    <w:rsid w:val="00A6256A"/>
    <w:rsid w:val="00A62D30"/>
    <w:rsid w:val="00A6309A"/>
    <w:rsid w:val="00A63E67"/>
    <w:rsid w:val="00A654FF"/>
    <w:rsid w:val="00A715E7"/>
    <w:rsid w:val="00A71912"/>
    <w:rsid w:val="00A71D92"/>
    <w:rsid w:val="00A74AA7"/>
    <w:rsid w:val="00A75B40"/>
    <w:rsid w:val="00A77D9B"/>
    <w:rsid w:val="00A80D65"/>
    <w:rsid w:val="00A81176"/>
    <w:rsid w:val="00A83513"/>
    <w:rsid w:val="00A87635"/>
    <w:rsid w:val="00A91BCF"/>
    <w:rsid w:val="00A97754"/>
    <w:rsid w:val="00AA3408"/>
    <w:rsid w:val="00AA4CF0"/>
    <w:rsid w:val="00AA653E"/>
    <w:rsid w:val="00AB04AD"/>
    <w:rsid w:val="00AB0EDD"/>
    <w:rsid w:val="00AB1CEE"/>
    <w:rsid w:val="00AB23B9"/>
    <w:rsid w:val="00AB2453"/>
    <w:rsid w:val="00AB29ED"/>
    <w:rsid w:val="00AB35E3"/>
    <w:rsid w:val="00AB43CC"/>
    <w:rsid w:val="00AB7955"/>
    <w:rsid w:val="00AC1DA5"/>
    <w:rsid w:val="00AC4559"/>
    <w:rsid w:val="00AC7C1A"/>
    <w:rsid w:val="00AD211D"/>
    <w:rsid w:val="00AD2275"/>
    <w:rsid w:val="00AD24DA"/>
    <w:rsid w:val="00AD668D"/>
    <w:rsid w:val="00AE11D9"/>
    <w:rsid w:val="00AE6EAB"/>
    <w:rsid w:val="00AF27F5"/>
    <w:rsid w:val="00B009FE"/>
    <w:rsid w:val="00B00F7D"/>
    <w:rsid w:val="00B038AD"/>
    <w:rsid w:val="00B04A01"/>
    <w:rsid w:val="00B04DC9"/>
    <w:rsid w:val="00B20784"/>
    <w:rsid w:val="00B20CBC"/>
    <w:rsid w:val="00B23C3E"/>
    <w:rsid w:val="00B315A4"/>
    <w:rsid w:val="00B31869"/>
    <w:rsid w:val="00B3192F"/>
    <w:rsid w:val="00B4161D"/>
    <w:rsid w:val="00B42E2A"/>
    <w:rsid w:val="00B57FA6"/>
    <w:rsid w:val="00B66580"/>
    <w:rsid w:val="00B73677"/>
    <w:rsid w:val="00B760B6"/>
    <w:rsid w:val="00B769D4"/>
    <w:rsid w:val="00B770EF"/>
    <w:rsid w:val="00B8581C"/>
    <w:rsid w:val="00B861FC"/>
    <w:rsid w:val="00B86494"/>
    <w:rsid w:val="00B87621"/>
    <w:rsid w:val="00B87BAD"/>
    <w:rsid w:val="00B87E0B"/>
    <w:rsid w:val="00B91EF5"/>
    <w:rsid w:val="00B92D9B"/>
    <w:rsid w:val="00B9366D"/>
    <w:rsid w:val="00B93F22"/>
    <w:rsid w:val="00BA2C40"/>
    <w:rsid w:val="00BA4DCC"/>
    <w:rsid w:val="00BA6568"/>
    <w:rsid w:val="00BC2FE2"/>
    <w:rsid w:val="00BC5CB2"/>
    <w:rsid w:val="00BC6B80"/>
    <w:rsid w:val="00BD3B42"/>
    <w:rsid w:val="00BE3EF5"/>
    <w:rsid w:val="00BE5271"/>
    <w:rsid w:val="00BE5A0C"/>
    <w:rsid w:val="00BF03D5"/>
    <w:rsid w:val="00BF06A4"/>
    <w:rsid w:val="00BF0B3C"/>
    <w:rsid w:val="00BF227E"/>
    <w:rsid w:val="00BF633D"/>
    <w:rsid w:val="00BF6D7B"/>
    <w:rsid w:val="00BF7D95"/>
    <w:rsid w:val="00C0014E"/>
    <w:rsid w:val="00C00F7E"/>
    <w:rsid w:val="00C0134B"/>
    <w:rsid w:val="00C03EB2"/>
    <w:rsid w:val="00C04638"/>
    <w:rsid w:val="00C0777A"/>
    <w:rsid w:val="00C10EE1"/>
    <w:rsid w:val="00C140BD"/>
    <w:rsid w:val="00C176D7"/>
    <w:rsid w:val="00C23FC6"/>
    <w:rsid w:val="00C25B7D"/>
    <w:rsid w:val="00C26983"/>
    <w:rsid w:val="00C31107"/>
    <w:rsid w:val="00C31280"/>
    <w:rsid w:val="00C31DB9"/>
    <w:rsid w:val="00C32D97"/>
    <w:rsid w:val="00C34028"/>
    <w:rsid w:val="00C34456"/>
    <w:rsid w:val="00C3702D"/>
    <w:rsid w:val="00C40F76"/>
    <w:rsid w:val="00C503A8"/>
    <w:rsid w:val="00C53124"/>
    <w:rsid w:val="00C54369"/>
    <w:rsid w:val="00C54991"/>
    <w:rsid w:val="00C562DB"/>
    <w:rsid w:val="00C565DD"/>
    <w:rsid w:val="00C61272"/>
    <w:rsid w:val="00C6415C"/>
    <w:rsid w:val="00C7150B"/>
    <w:rsid w:val="00C71B4F"/>
    <w:rsid w:val="00C71E3F"/>
    <w:rsid w:val="00C72E7B"/>
    <w:rsid w:val="00C74AE5"/>
    <w:rsid w:val="00C81EBE"/>
    <w:rsid w:val="00C82155"/>
    <w:rsid w:val="00C9590F"/>
    <w:rsid w:val="00C96283"/>
    <w:rsid w:val="00CA00FE"/>
    <w:rsid w:val="00CA0B47"/>
    <w:rsid w:val="00CA5EE3"/>
    <w:rsid w:val="00CA6FD1"/>
    <w:rsid w:val="00CA725F"/>
    <w:rsid w:val="00CB110A"/>
    <w:rsid w:val="00CB15FF"/>
    <w:rsid w:val="00CB2C5E"/>
    <w:rsid w:val="00CC170C"/>
    <w:rsid w:val="00CC17AC"/>
    <w:rsid w:val="00CC2B25"/>
    <w:rsid w:val="00CC35BC"/>
    <w:rsid w:val="00CC3D2A"/>
    <w:rsid w:val="00CC6BCB"/>
    <w:rsid w:val="00CC7A01"/>
    <w:rsid w:val="00CD3A23"/>
    <w:rsid w:val="00CE1F93"/>
    <w:rsid w:val="00CE33D0"/>
    <w:rsid w:val="00CE410E"/>
    <w:rsid w:val="00CE49D3"/>
    <w:rsid w:val="00CE4BB1"/>
    <w:rsid w:val="00CE5019"/>
    <w:rsid w:val="00CE746C"/>
    <w:rsid w:val="00CE7D94"/>
    <w:rsid w:val="00CF1C77"/>
    <w:rsid w:val="00CF312C"/>
    <w:rsid w:val="00CF42CF"/>
    <w:rsid w:val="00D00BE0"/>
    <w:rsid w:val="00D02AAD"/>
    <w:rsid w:val="00D03656"/>
    <w:rsid w:val="00D07F04"/>
    <w:rsid w:val="00D10A24"/>
    <w:rsid w:val="00D16083"/>
    <w:rsid w:val="00D25E09"/>
    <w:rsid w:val="00D31B40"/>
    <w:rsid w:val="00D32969"/>
    <w:rsid w:val="00D33953"/>
    <w:rsid w:val="00D34C78"/>
    <w:rsid w:val="00D3568A"/>
    <w:rsid w:val="00D45149"/>
    <w:rsid w:val="00D46DCC"/>
    <w:rsid w:val="00D51C6C"/>
    <w:rsid w:val="00D526BB"/>
    <w:rsid w:val="00D5494C"/>
    <w:rsid w:val="00D5514B"/>
    <w:rsid w:val="00D5705E"/>
    <w:rsid w:val="00D62368"/>
    <w:rsid w:val="00D65ABC"/>
    <w:rsid w:val="00D6696E"/>
    <w:rsid w:val="00D679C8"/>
    <w:rsid w:val="00D67A96"/>
    <w:rsid w:val="00D725A3"/>
    <w:rsid w:val="00D72CF3"/>
    <w:rsid w:val="00D75B3E"/>
    <w:rsid w:val="00D75EFE"/>
    <w:rsid w:val="00D7620F"/>
    <w:rsid w:val="00D76A00"/>
    <w:rsid w:val="00D805A4"/>
    <w:rsid w:val="00D81D6B"/>
    <w:rsid w:val="00D93559"/>
    <w:rsid w:val="00D97D1A"/>
    <w:rsid w:val="00DA04E5"/>
    <w:rsid w:val="00DA4CFC"/>
    <w:rsid w:val="00DB5BA4"/>
    <w:rsid w:val="00DB7297"/>
    <w:rsid w:val="00DB7AED"/>
    <w:rsid w:val="00DC1C72"/>
    <w:rsid w:val="00DC2B78"/>
    <w:rsid w:val="00DC4D9D"/>
    <w:rsid w:val="00DC7697"/>
    <w:rsid w:val="00DD017C"/>
    <w:rsid w:val="00DD17D8"/>
    <w:rsid w:val="00DD564A"/>
    <w:rsid w:val="00DD7B8E"/>
    <w:rsid w:val="00DE0AF5"/>
    <w:rsid w:val="00DE4626"/>
    <w:rsid w:val="00DE4FFE"/>
    <w:rsid w:val="00DF2151"/>
    <w:rsid w:val="00DF2772"/>
    <w:rsid w:val="00DF3909"/>
    <w:rsid w:val="00DF4A68"/>
    <w:rsid w:val="00E013E6"/>
    <w:rsid w:val="00E064B0"/>
    <w:rsid w:val="00E07A39"/>
    <w:rsid w:val="00E12D50"/>
    <w:rsid w:val="00E15064"/>
    <w:rsid w:val="00E15D18"/>
    <w:rsid w:val="00E20977"/>
    <w:rsid w:val="00E2254F"/>
    <w:rsid w:val="00E22B4E"/>
    <w:rsid w:val="00E248FD"/>
    <w:rsid w:val="00E30374"/>
    <w:rsid w:val="00E32A5E"/>
    <w:rsid w:val="00E33BA0"/>
    <w:rsid w:val="00E34CBB"/>
    <w:rsid w:val="00E35C8F"/>
    <w:rsid w:val="00E367C6"/>
    <w:rsid w:val="00E519AA"/>
    <w:rsid w:val="00E53B9D"/>
    <w:rsid w:val="00E55BF4"/>
    <w:rsid w:val="00E57887"/>
    <w:rsid w:val="00E57A5A"/>
    <w:rsid w:val="00E62584"/>
    <w:rsid w:val="00E63D3B"/>
    <w:rsid w:val="00E63D4B"/>
    <w:rsid w:val="00E64374"/>
    <w:rsid w:val="00E67B91"/>
    <w:rsid w:val="00E81407"/>
    <w:rsid w:val="00E86D99"/>
    <w:rsid w:val="00E872BB"/>
    <w:rsid w:val="00E9227B"/>
    <w:rsid w:val="00E939FC"/>
    <w:rsid w:val="00E95933"/>
    <w:rsid w:val="00EA2962"/>
    <w:rsid w:val="00EA50DE"/>
    <w:rsid w:val="00EB3123"/>
    <w:rsid w:val="00EB35A4"/>
    <w:rsid w:val="00EB67E3"/>
    <w:rsid w:val="00EB7820"/>
    <w:rsid w:val="00EC04B4"/>
    <w:rsid w:val="00EC0C12"/>
    <w:rsid w:val="00EC53A7"/>
    <w:rsid w:val="00EC6D19"/>
    <w:rsid w:val="00ED2FFD"/>
    <w:rsid w:val="00ED38F2"/>
    <w:rsid w:val="00EE0994"/>
    <w:rsid w:val="00EE30E3"/>
    <w:rsid w:val="00EE3615"/>
    <w:rsid w:val="00EE4284"/>
    <w:rsid w:val="00EE4C1A"/>
    <w:rsid w:val="00EE535B"/>
    <w:rsid w:val="00EF40A4"/>
    <w:rsid w:val="00EF457A"/>
    <w:rsid w:val="00EF476F"/>
    <w:rsid w:val="00EF613F"/>
    <w:rsid w:val="00EF7A47"/>
    <w:rsid w:val="00F00AC5"/>
    <w:rsid w:val="00F04E55"/>
    <w:rsid w:val="00F06459"/>
    <w:rsid w:val="00F10854"/>
    <w:rsid w:val="00F142F6"/>
    <w:rsid w:val="00F14549"/>
    <w:rsid w:val="00F150CD"/>
    <w:rsid w:val="00F156F9"/>
    <w:rsid w:val="00F21B17"/>
    <w:rsid w:val="00F24EA6"/>
    <w:rsid w:val="00F307FB"/>
    <w:rsid w:val="00F30DC7"/>
    <w:rsid w:val="00F3116E"/>
    <w:rsid w:val="00F33512"/>
    <w:rsid w:val="00F359CE"/>
    <w:rsid w:val="00F35D66"/>
    <w:rsid w:val="00F3736D"/>
    <w:rsid w:val="00F42458"/>
    <w:rsid w:val="00F44BB2"/>
    <w:rsid w:val="00F61222"/>
    <w:rsid w:val="00F6227F"/>
    <w:rsid w:val="00F626D6"/>
    <w:rsid w:val="00F646FE"/>
    <w:rsid w:val="00F65BB6"/>
    <w:rsid w:val="00F721B5"/>
    <w:rsid w:val="00F728FA"/>
    <w:rsid w:val="00F72AD1"/>
    <w:rsid w:val="00F76DBC"/>
    <w:rsid w:val="00F8161A"/>
    <w:rsid w:val="00F829EC"/>
    <w:rsid w:val="00F87402"/>
    <w:rsid w:val="00F9296D"/>
    <w:rsid w:val="00FA2BA8"/>
    <w:rsid w:val="00FA5E52"/>
    <w:rsid w:val="00FA71A2"/>
    <w:rsid w:val="00FA75B1"/>
    <w:rsid w:val="00FB1CAD"/>
    <w:rsid w:val="00FB3D15"/>
    <w:rsid w:val="00FB3FB6"/>
    <w:rsid w:val="00FB4D3E"/>
    <w:rsid w:val="00FB519B"/>
    <w:rsid w:val="00FC2284"/>
    <w:rsid w:val="00FC2600"/>
    <w:rsid w:val="00FC3C9B"/>
    <w:rsid w:val="00FC48D1"/>
    <w:rsid w:val="00FD1285"/>
    <w:rsid w:val="00FD306D"/>
    <w:rsid w:val="00FD458D"/>
    <w:rsid w:val="00FD6299"/>
    <w:rsid w:val="00FE3316"/>
    <w:rsid w:val="00FF14CB"/>
    <w:rsid w:val="00FF17E1"/>
    <w:rsid w:val="00FF4F6F"/>
    <w:rsid w:val="00FF7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FA465B"/>
  <w14:defaultImageDpi w14:val="300"/>
  <w15:docId w15:val="{87E529B5-9865-F741-9A57-9DB222096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7B91"/>
    <w:pPr>
      <w:jc w:val="both"/>
    </w:pPr>
    <w:rPr>
      <w:rFonts w:ascii="Helvetica Neue" w:hAnsi="Helvetica Neue"/>
      <w:sz w:val="20"/>
    </w:rPr>
  </w:style>
  <w:style w:type="paragraph" w:styleId="Titre1">
    <w:name w:val="heading 1"/>
    <w:aliases w:val="Sous Titre 1"/>
    <w:basedOn w:val="Normal"/>
    <w:next w:val="Normal"/>
    <w:link w:val="Titre1Car"/>
    <w:uiPriority w:val="9"/>
    <w:qFormat/>
    <w:rsid w:val="00CC3D2A"/>
    <w:pPr>
      <w:keepNext/>
      <w:keepLines/>
      <w:outlineLvl w:val="0"/>
    </w:pPr>
    <w:rPr>
      <w:rFonts w:eastAsiaTheme="majorEastAsia" w:cstheme="majorBidi"/>
      <w:color w:val="45B2C8"/>
      <w:sz w:val="24"/>
      <w:szCs w:val="32"/>
    </w:rPr>
  </w:style>
  <w:style w:type="paragraph" w:styleId="Titre2">
    <w:name w:val="heading 2"/>
    <w:aliases w:val="Sous Titres 2"/>
    <w:basedOn w:val="Normal"/>
    <w:next w:val="Normal"/>
    <w:link w:val="Titre2Car"/>
    <w:uiPriority w:val="9"/>
    <w:unhideWhenUsed/>
    <w:qFormat/>
    <w:rsid w:val="0029116C"/>
    <w:pPr>
      <w:keepNext/>
      <w:keepLines/>
      <w:spacing w:before="40"/>
      <w:outlineLvl w:val="1"/>
    </w:pPr>
    <w:rPr>
      <w:rFonts w:eastAsiaTheme="majorEastAsia" w:cstheme="majorBidi"/>
      <w:color w:val="000000" w:themeColor="text1"/>
      <w:szCs w:val="26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14CCD"/>
    <w:pPr>
      <w:widowControl w:val="0"/>
      <w:autoSpaceDE w:val="0"/>
      <w:autoSpaceDN w:val="0"/>
      <w:adjustRightInd w:val="0"/>
    </w:pPr>
    <w:rPr>
      <w:rFonts w:ascii="TradeGothic Bold" w:hAnsi="TradeGothic Bold" w:cs="TradeGothic Bold"/>
      <w:color w:val="000000"/>
    </w:rPr>
  </w:style>
  <w:style w:type="paragraph" w:customStyle="1" w:styleId="Pa0">
    <w:name w:val="Pa0"/>
    <w:basedOn w:val="Default"/>
    <w:next w:val="Default"/>
    <w:uiPriority w:val="99"/>
    <w:rsid w:val="00414CCD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414CCD"/>
    <w:rPr>
      <w:rFonts w:cs="TradeGothic Bold"/>
      <w:color w:val="57585A"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647E90"/>
    <w:pPr>
      <w:ind w:left="720"/>
      <w:contextualSpacing/>
    </w:pPr>
  </w:style>
  <w:style w:type="paragraph" w:customStyle="1" w:styleId="Pa2">
    <w:name w:val="Pa2"/>
    <w:basedOn w:val="Default"/>
    <w:next w:val="Default"/>
    <w:uiPriority w:val="99"/>
    <w:rsid w:val="00106EFD"/>
    <w:pPr>
      <w:spacing w:line="241" w:lineRule="atLeast"/>
    </w:pPr>
    <w:rPr>
      <w:rFonts w:ascii="Helvetica Neue LT" w:hAnsi="Helvetica Neue LT" w:cs="Times New Roman"/>
      <w:color w:val="auto"/>
    </w:rPr>
  </w:style>
  <w:style w:type="character" w:customStyle="1" w:styleId="A2">
    <w:name w:val="A2"/>
    <w:uiPriority w:val="99"/>
    <w:rsid w:val="00106EFD"/>
    <w:rPr>
      <w:rFonts w:cs="Helvetica Neue LT"/>
      <w:color w:val="000000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D75B3E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75B3E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75B3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535CDB"/>
    <w:pPr>
      <w:spacing w:before="100" w:beforeAutospacing="1" w:after="100" w:afterAutospacing="1"/>
    </w:pPr>
    <w:rPr>
      <w:rFonts w:ascii="Times" w:hAnsi="Times" w:cs="Times New Roman"/>
      <w:szCs w:val="20"/>
    </w:rPr>
  </w:style>
  <w:style w:type="paragraph" w:customStyle="1" w:styleId="xmsonormal">
    <w:name w:val="x_msonormal"/>
    <w:basedOn w:val="Normal"/>
    <w:rsid w:val="00D3568A"/>
    <w:pPr>
      <w:spacing w:before="100" w:beforeAutospacing="1" w:after="100" w:afterAutospacing="1"/>
    </w:pPr>
    <w:rPr>
      <w:rFonts w:ascii="Times" w:hAnsi="Times"/>
      <w:szCs w:val="20"/>
    </w:rPr>
  </w:style>
  <w:style w:type="character" w:customStyle="1" w:styleId="apple-converted-space">
    <w:name w:val="apple-converted-space"/>
    <w:basedOn w:val="Policepardfaut"/>
    <w:rsid w:val="00D3568A"/>
  </w:style>
  <w:style w:type="paragraph" w:customStyle="1" w:styleId="xmsolistparagraph">
    <w:name w:val="x_msolistparagraph"/>
    <w:basedOn w:val="Normal"/>
    <w:rsid w:val="00D3568A"/>
    <w:pPr>
      <w:spacing w:before="100" w:beforeAutospacing="1" w:after="100" w:afterAutospacing="1"/>
    </w:pPr>
    <w:rPr>
      <w:rFonts w:ascii="Times" w:hAnsi="Times"/>
      <w:szCs w:val="20"/>
    </w:rPr>
  </w:style>
  <w:style w:type="table" w:styleId="Grilledutableau">
    <w:name w:val="Table Grid"/>
    <w:basedOn w:val="TableauNormal"/>
    <w:uiPriority w:val="59"/>
    <w:rsid w:val="00360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ghlight">
    <w:name w:val="highlight"/>
    <w:basedOn w:val="Policepardfaut"/>
    <w:rsid w:val="00BF06A4"/>
  </w:style>
  <w:style w:type="paragraph" w:styleId="En-tte">
    <w:name w:val="header"/>
    <w:basedOn w:val="Normal"/>
    <w:link w:val="En-tteCar"/>
    <w:uiPriority w:val="99"/>
    <w:unhideWhenUsed/>
    <w:rsid w:val="0045579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5579E"/>
  </w:style>
  <w:style w:type="paragraph" w:styleId="Pieddepage">
    <w:name w:val="footer"/>
    <w:basedOn w:val="Normal"/>
    <w:link w:val="PieddepageCar"/>
    <w:uiPriority w:val="99"/>
    <w:unhideWhenUsed/>
    <w:rsid w:val="0045579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5579E"/>
  </w:style>
  <w:style w:type="character" w:styleId="Marquedecommentaire">
    <w:name w:val="annotation reference"/>
    <w:basedOn w:val="Policepardfaut"/>
    <w:uiPriority w:val="99"/>
    <w:semiHidden/>
    <w:unhideWhenUsed/>
    <w:rsid w:val="00361F6F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361F6F"/>
    <w:rPr>
      <w:szCs w:val="20"/>
    </w:rPr>
  </w:style>
  <w:style w:type="character" w:customStyle="1" w:styleId="CommentaireCar">
    <w:name w:val="Commentaire Car"/>
    <w:basedOn w:val="Policepardfaut"/>
    <w:link w:val="Commentaire"/>
    <w:semiHidden/>
    <w:rsid w:val="00361F6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1F6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1F6F"/>
    <w:rPr>
      <w:b/>
      <w:bCs/>
      <w:sz w:val="20"/>
      <w:szCs w:val="20"/>
    </w:rPr>
  </w:style>
  <w:style w:type="character" w:styleId="Accentuation">
    <w:name w:val="Emphasis"/>
    <w:basedOn w:val="Policepardfaut"/>
    <w:uiPriority w:val="20"/>
    <w:qFormat/>
    <w:rsid w:val="00412A0D"/>
    <w:rPr>
      <w:i/>
      <w:iCs/>
    </w:rPr>
  </w:style>
  <w:style w:type="paragraph" w:styleId="Sansinterligne">
    <w:name w:val="No Spacing"/>
    <w:aliases w:val="A propos"/>
    <w:uiPriority w:val="1"/>
    <w:qFormat/>
    <w:rsid w:val="0029116C"/>
    <w:rPr>
      <w:rFonts w:ascii="Helvetica Neue" w:eastAsia="Calibri" w:hAnsi="Helvetica Neue" w:cs="Times New Roman"/>
      <w:color w:val="808080" w:themeColor="background1" w:themeShade="80"/>
      <w:sz w:val="20"/>
      <w:szCs w:val="22"/>
      <w:lang w:eastAsia="en-US"/>
    </w:rPr>
  </w:style>
  <w:style w:type="paragraph" w:customStyle="1" w:styleId="Standard">
    <w:name w:val="Standard"/>
    <w:rsid w:val="004B782F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</w:rPr>
  </w:style>
  <w:style w:type="paragraph" w:customStyle="1" w:styleId="xmsonospacing">
    <w:name w:val="x_msonospacing"/>
    <w:basedOn w:val="Normal"/>
    <w:rsid w:val="001F3EAF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Titre1Car">
    <w:name w:val="Titre 1 Car"/>
    <w:aliases w:val="Sous Titre 1 Car"/>
    <w:basedOn w:val="Policepardfaut"/>
    <w:link w:val="Titre1"/>
    <w:uiPriority w:val="9"/>
    <w:rsid w:val="00CC3D2A"/>
    <w:rPr>
      <w:rFonts w:ascii="Helvetica Neue" w:eastAsiaTheme="majorEastAsia" w:hAnsi="Helvetica Neue" w:cstheme="majorBidi"/>
      <w:color w:val="45B2C8"/>
      <w:szCs w:val="32"/>
    </w:rPr>
  </w:style>
  <w:style w:type="character" w:customStyle="1" w:styleId="Titre2Car">
    <w:name w:val="Titre 2 Car"/>
    <w:aliases w:val="Sous Titres 2 Car"/>
    <w:basedOn w:val="Policepardfaut"/>
    <w:link w:val="Titre2"/>
    <w:uiPriority w:val="9"/>
    <w:rsid w:val="0029116C"/>
    <w:rPr>
      <w:rFonts w:ascii="Helvetica Neue" w:eastAsiaTheme="majorEastAsia" w:hAnsi="Helvetica Neue" w:cstheme="majorBidi"/>
      <w:color w:val="000000" w:themeColor="text1"/>
      <w:sz w:val="20"/>
      <w:szCs w:val="26"/>
      <w:u w:val="single"/>
    </w:rPr>
  </w:style>
  <w:style w:type="paragraph" w:styleId="Titre">
    <w:name w:val="Title"/>
    <w:basedOn w:val="Normal"/>
    <w:next w:val="Normal"/>
    <w:link w:val="TitreCar"/>
    <w:qFormat/>
    <w:rsid w:val="0029116C"/>
    <w:pPr>
      <w:contextualSpacing/>
    </w:pPr>
    <w:rPr>
      <w:rFonts w:eastAsiaTheme="majorEastAsia" w:cstheme="majorBidi"/>
      <w:spacing w:val="-10"/>
      <w:kern w:val="28"/>
      <w:sz w:val="40"/>
      <w:szCs w:val="56"/>
    </w:rPr>
  </w:style>
  <w:style w:type="character" w:customStyle="1" w:styleId="TitreCar">
    <w:name w:val="Titre Car"/>
    <w:basedOn w:val="Policepardfaut"/>
    <w:link w:val="Titre"/>
    <w:rsid w:val="0029116C"/>
    <w:rPr>
      <w:rFonts w:ascii="Helvetica Neue" w:eastAsiaTheme="majorEastAsia" w:hAnsi="Helvetica Neue" w:cstheme="majorBidi"/>
      <w:spacing w:val="-10"/>
      <w:kern w:val="28"/>
      <w:sz w:val="40"/>
      <w:szCs w:val="56"/>
    </w:rPr>
  </w:style>
  <w:style w:type="paragraph" w:styleId="Sous-titre">
    <w:name w:val="Subtitle"/>
    <w:aliases w:val="Chapeau"/>
    <w:basedOn w:val="Normal"/>
    <w:next w:val="Normal"/>
    <w:link w:val="Sous-titreCar"/>
    <w:qFormat/>
    <w:rsid w:val="00CC3D2A"/>
    <w:pPr>
      <w:numPr>
        <w:ilvl w:val="1"/>
      </w:numPr>
      <w:spacing w:after="40"/>
    </w:pPr>
    <w:rPr>
      <w:color w:val="808080" w:themeColor="background1" w:themeShade="80"/>
      <w:spacing w:val="15"/>
      <w:sz w:val="22"/>
      <w:szCs w:val="22"/>
    </w:rPr>
  </w:style>
  <w:style w:type="character" w:customStyle="1" w:styleId="Sous-titreCar">
    <w:name w:val="Sous-titre Car"/>
    <w:aliases w:val="Chapeau Car"/>
    <w:basedOn w:val="Policepardfaut"/>
    <w:link w:val="Sous-titre"/>
    <w:rsid w:val="00CC3D2A"/>
    <w:rPr>
      <w:rFonts w:ascii="Helvetica Neue" w:hAnsi="Helvetica Neue"/>
      <w:color w:val="808080" w:themeColor="background1" w:themeShade="80"/>
      <w:spacing w:val="15"/>
      <w:sz w:val="22"/>
      <w:szCs w:val="22"/>
    </w:rPr>
  </w:style>
  <w:style w:type="paragraph" w:styleId="Lgende">
    <w:name w:val="caption"/>
    <w:basedOn w:val="Normal"/>
    <w:next w:val="Normal"/>
    <w:uiPriority w:val="35"/>
    <w:unhideWhenUsed/>
    <w:qFormat/>
    <w:rsid w:val="004423A4"/>
    <w:pPr>
      <w:spacing w:after="200"/>
    </w:pPr>
    <w:rPr>
      <w:i/>
      <w:iCs/>
      <w:color w:val="1F497D" w:themeColor="text2"/>
      <w:sz w:val="18"/>
      <w:szCs w:val="18"/>
    </w:rPr>
  </w:style>
  <w:style w:type="paragraph" w:customStyle="1" w:styleId="Pardeliste1">
    <w:name w:val="Par. de liste1"/>
    <w:basedOn w:val="Normal"/>
    <w:rsid w:val="00AF27F5"/>
    <w:pPr>
      <w:spacing w:after="200" w:line="276" w:lineRule="auto"/>
      <w:ind w:left="720"/>
      <w:contextualSpacing/>
      <w:jc w:val="left"/>
    </w:pPr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background-details">
    <w:name w:val="background-details"/>
    <w:basedOn w:val="Policepardfaut"/>
    <w:rsid w:val="001F29DF"/>
  </w:style>
  <w:style w:type="character" w:customStyle="1" w:styleId="Mentionnonrsolue1">
    <w:name w:val="Mention non résolue1"/>
    <w:basedOn w:val="Policepardfaut"/>
    <w:uiPriority w:val="99"/>
    <w:rsid w:val="001F29DF"/>
    <w:rPr>
      <w:color w:val="808080"/>
      <w:shd w:val="clear" w:color="auto" w:fill="E6E6E6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DC4D9D"/>
    <w:rPr>
      <w:color w:val="808080"/>
      <w:shd w:val="clear" w:color="auto" w:fill="E6E6E6"/>
    </w:rPr>
  </w:style>
  <w:style w:type="paragraph" w:customStyle="1" w:styleId="xxmsonormal">
    <w:name w:val="x_x_msonormal"/>
    <w:basedOn w:val="Normal"/>
    <w:rsid w:val="00DC4D9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</w:rPr>
  </w:style>
  <w:style w:type="character" w:styleId="Mentionnonrsolue">
    <w:name w:val="Unresolved Mention"/>
    <w:basedOn w:val="Policepardfaut"/>
    <w:uiPriority w:val="99"/>
    <w:semiHidden/>
    <w:unhideWhenUsed/>
    <w:rsid w:val="00D526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6530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71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56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4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57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795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1396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216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9029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599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549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174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93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678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37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none" w:sz="0" w:space="0" w:color="auto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451825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74221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229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294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7316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86405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061882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45143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12293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8961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447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08860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2886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59180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624237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56800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023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12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21609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948460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5741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488405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36968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796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153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60405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78322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8106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686445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30306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671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42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126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50037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2258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2249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441925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31559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445581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73953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150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17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137477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7977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24030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212580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147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893809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56784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0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14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7652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88534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7436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2032026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64856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527788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81818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68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2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8270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34605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157440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08857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2518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214041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77318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2922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124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346239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84963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330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982149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1551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079ED"/>
                                            <w:left w:val="single" w:sz="6" w:space="0" w:color="3079ED"/>
                                            <w:bottom w:val="single" w:sz="6" w:space="0" w:color="3079ED"/>
                                            <w:right w:val="single" w:sz="6" w:space="0" w:color="3079ED"/>
                                          </w:divBdr>
                                        </w:div>
                                      </w:divsChild>
                                    </w:div>
                                    <w:div w:id="712537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2705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27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124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24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8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23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4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9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3183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4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900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9207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112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51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874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52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none" w:sz="0" w:space="0" w:color="auto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403455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05427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87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32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53527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58870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39543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41240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299210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85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18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3290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788209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49449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18701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0182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3160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551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035402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330329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234098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46573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6575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458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383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49404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774833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54784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182859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682976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20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985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25415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046837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934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32744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4680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  <w:div w:id="1209997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79926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1369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2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3774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248807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570766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861670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18114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292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437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1237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7663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00972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86434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59416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30347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471870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082783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03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39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166060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73146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45091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829326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058991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478035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181397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5396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71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243468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212496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28663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DEDEDE"/>
                                            <w:left w:val="single" w:sz="6" w:space="0" w:color="DEDEDE"/>
                                            <w:bottom w:val="single" w:sz="6" w:space="0" w:color="DEDEDE"/>
                                            <w:right w:val="single" w:sz="6" w:space="0" w:color="DEDEDE"/>
                                          </w:divBdr>
                                        </w:div>
                                      </w:divsChild>
                                    </w:div>
                                    <w:div w:id="1830319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441285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3079ED"/>
                                            <w:left w:val="single" w:sz="6" w:space="0" w:color="3079ED"/>
                                            <w:bottom w:val="single" w:sz="6" w:space="0" w:color="3079ED"/>
                                            <w:right w:val="single" w:sz="6" w:space="0" w:color="3079ED"/>
                                          </w:divBdr>
                                        </w:div>
                                      </w:divsChild>
                                    </w:div>
                                    <w:div w:id="171919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490599">
                                          <w:marLeft w:val="77"/>
                                          <w:marRight w:val="77"/>
                                          <w:marTop w:val="0"/>
                                          <w:marBottom w:val="0"/>
                                          <w:divBdr>
                                            <w:top w:val="single" w:sz="6" w:space="0" w:color="C6C6C6"/>
                                            <w:left w:val="single" w:sz="6" w:space="0" w:color="C6C6C6"/>
                                            <w:bottom w:val="single" w:sz="6" w:space="0" w:color="C6C6C6"/>
                                            <w:right w:val="single" w:sz="6" w:space="0" w:color="C6C6C6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0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FIPHF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phfp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cille.simon@tbwa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16A83-9EB0-7C4D-8858-0C43C2F7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12</Pages>
  <Words>3006</Words>
  <Characters>16538</Characters>
  <Application>Microsoft Office Word</Application>
  <DocSecurity>0</DocSecurity>
  <Lines>137</Lines>
  <Paragraphs>39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TBWA</Company>
  <LinksUpToDate>false</LinksUpToDate>
  <CharactersWithSpaces>19505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TBWA TBWA</dc:creator>
  <cp:lastModifiedBy>TBWA</cp:lastModifiedBy>
  <cp:revision>8</cp:revision>
  <cp:lastPrinted>2018-06-21T12:01:00Z</cp:lastPrinted>
  <dcterms:created xsi:type="dcterms:W3CDTF">2018-06-28T12:44:00Z</dcterms:created>
  <dcterms:modified xsi:type="dcterms:W3CDTF">2018-06-29T09:14:00Z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fe53b9-638e-4ef6-8894-a240baf5be6f_Enabled">
    <vt:lpwstr>True</vt:lpwstr>
  </property>
  <property fmtid="{D5CDD505-2E9C-101B-9397-08002B2CF9AE}" pid="3" name="MSIP_Label_06fe53b9-638e-4ef6-8894-a240baf5be6f_SiteId">
    <vt:lpwstr>6eab6365-8194-49c6-a4d0-e2d1a0fbeb74</vt:lpwstr>
  </property>
  <property fmtid="{D5CDD505-2E9C-101B-9397-08002B2CF9AE}" pid="4" name="MSIP_Label_06fe53b9-638e-4ef6-8894-a240baf5be6f_Ref">
    <vt:lpwstr>https://api.informationprotection.azure.com/api/6eab6365-8194-49c6-a4d0-e2d1a0fbeb74</vt:lpwstr>
  </property>
  <property fmtid="{D5CDD505-2E9C-101B-9397-08002B2CF9AE}" pid="5" name="MSIP_Label_06fe53b9-638e-4ef6-8894-a240baf5be6f_Owner">
    <vt:lpwstr>Nelly.Bellanger@caissedesdepots.fr</vt:lpwstr>
  </property>
  <property fmtid="{D5CDD505-2E9C-101B-9397-08002B2CF9AE}" pid="6" name="MSIP_Label_06fe53b9-638e-4ef6-8894-a240baf5be6f_SetDate">
    <vt:lpwstr>2018-04-11T14:12:56.3976199+02:00</vt:lpwstr>
  </property>
  <property fmtid="{D5CDD505-2E9C-101B-9397-08002B2CF9AE}" pid="7" name="MSIP_Label_06fe53b9-638e-4ef6-8894-a240baf5be6f_Name">
    <vt:lpwstr>CDC-Interne</vt:lpwstr>
  </property>
  <property fmtid="{D5CDD505-2E9C-101B-9397-08002B2CF9AE}" pid="8" name="MSIP_Label_06fe53b9-638e-4ef6-8894-a240baf5be6f_Application">
    <vt:lpwstr>Microsoft Azure Information Protection</vt:lpwstr>
  </property>
  <property fmtid="{D5CDD505-2E9C-101B-9397-08002B2CF9AE}" pid="9" name="MSIP_Label_06fe53b9-638e-4ef6-8894-a240baf5be6f_Extended_MSFT_Method">
    <vt:lpwstr>Automatic</vt:lpwstr>
  </property>
  <property fmtid="{D5CDD505-2E9C-101B-9397-08002B2CF9AE}" pid="10" name="Sensitivity">
    <vt:lpwstr>CDC-Interne</vt:lpwstr>
  </property>
</Properties>
</file>