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60E" w:rsidRPr="008F4AF6" w:rsidRDefault="0060360E" w:rsidP="0060360E">
      <w:pPr>
        <w:rPr>
          <w:rFonts w:ascii="Calibri" w:eastAsiaTheme="majorEastAsia" w:hAnsi="Calibri" w:cstheme="majorBidi"/>
          <w:color w:val="45B2C8"/>
          <w:sz w:val="22"/>
        </w:rPr>
      </w:pPr>
    </w:p>
    <w:p w:rsidR="008F4AF6" w:rsidRDefault="008F4AF6" w:rsidP="008F4AF6">
      <w:pPr>
        <w:pStyle w:val="Titre"/>
        <w:spacing w:line="276" w:lineRule="auto"/>
        <w:jc w:val="center"/>
        <w:rPr>
          <w:rFonts w:ascii="Calibri" w:hAnsi="Calibri"/>
          <w:b/>
          <w:sz w:val="32"/>
          <w:szCs w:val="32"/>
        </w:rPr>
      </w:pPr>
      <w:r>
        <w:rPr>
          <w:noProof/>
        </w:rPr>
        <w:drawing>
          <wp:inline distT="0" distB="0" distL="0" distR="0" wp14:anchorId="4FFA7D0D" wp14:editId="579C3AA8">
            <wp:extent cx="826936" cy="883525"/>
            <wp:effectExtent l="0" t="0" r="0" b="0"/>
            <wp:docPr id="10" name="Image 10" title="Logo du FIPH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LYON:PARTAGE:Public:INFLUENCE:FIPHFP:COORDINATION:Logo:Nouveau logo 2014.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826639" cy="883208"/>
                    </a:xfrm>
                    <a:prstGeom prst="rect">
                      <a:avLst/>
                    </a:prstGeom>
                    <a:noFill/>
                    <a:ln>
                      <a:noFill/>
                    </a:ln>
                  </pic:spPr>
                </pic:pic>
              </a:graphicData>
            </a:graphic>
          </wp:inline>
        </w:drawing>
      </w:r>
      <w:r>
        <w:rPr>
          <w:rFonts w:ascii="Calibri" w:hAnsi="Calibri"/>
          <w:b/>
          <w:sz w:val="32"/>
          <w:szCs w:val="32"/>
        </w:rPr>
        <w:t xml:space="preserve">                                                                               </w:t>
      </w:r>
      <w:r>
        <w:rPr>
          <w:noProof/>
        </w:rPr>
        <w:drawing>
          <wp:inline distT="0" distB="0" distL="0" distR="0" wp14:anchorId="5C081533" wp14:editId="3D222E5A">
            <wp:extent cx="903600" cy="10800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P-H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600" cy="1080000"/>
                    </a:xfrm>
                    <a:prstGeom prst="rect">
                      <a:avLst/>
                    </a:prstGeom>
                  </pic:spPr>
                </pic:pic>
              </a:graphicData>
            </a:graphic>
          </wp:inline>
        </w:drawing>
      </w:r>
    </w:p>
    <w:p w:rsidR="008F4AF6" w:rsidRPr="00D15749" w:rsidRDefault="008F4AF6" w:rsidP="008F4AF6">
      <w:pPr>
        <w:pStyle w:val="Titre"/>
        <w:spacing w:line="276" w:lineRule="auto"/>
        <w:jc w:val="center"/>
        <w:rPr>
          <w:rFonts w:ascii="Calibri" w:hAnsi="Calibri"/>
          <w:b/>
          <w:sz w:val="22"/>
          <w:szCs w:val="22"/>
        </w:rPr>
      </w:pPr>
    </w:p>
    <w:p w:rsidR="003166A2" w:rsidRPr="00C13EFD" w:rsidRDefault="003166A2" w:rsidP="008F4AF6">
      <w:pPr>
        <w:pStyle w:val="Titre"/>
        <w:spacing w:line="276" w:lineRule="auto"/>
        <w:jc w:val="right"/>
        <w:rPr>
          <w:rFonts w:asciiTheme="minorHAnsi" w:hAnsiTheme="minorHAnsi" w:cs="Arial"/>
          <w:i/>
          <w:sz w:val="20"/>
          <w:szCs w:val="20"/>
        </w:rPr>
      </w:pPr>
    </w:p>
    <w:p w:rsidR="008F4AF6" w:rsidRPr="00C13EFD" w:rsidRDefault="008F4AF6" w:rsidP="00C13EFD">
      <w:pPr>
        <w:pStyle w:val="Titre"/>
        <w:spacing w:line="276" w:lineRule="auto"/>
        <w:jc w:val="right"/>
        <w:rPr>
          <w:rFonts w:asciiTheme="minorHAnsi" w:hAnsiTheme="minorHAnsi" w:cs="Arial"/>
          <w:i/>
          <w:sz w:val="20"/>
          <w:szCs w:val="20"/>
        </w:rPr>
      </w:pPr>
      <w:r w:rsidRPr="00C13EFD">
        <w:rPr>
          <w:rFonts w:asciiTheme="minorHAnsi" w:hAnsiTheme="minorHAnsi" w:cs="Arial"/>
          <w:i/>
          <w:sz w:val="20"/>
          <w:szCs w:val="20"/>
        </w:rPr>
        <w:t xml:space="preserve">Communiqué de presse </w:t>
      </w:r>
      <w:r w:rsidRPr="00C13EFD">
        <w:rPr>
          <w:rFonts w:asciiTheme="minorHAnsi" w:hAnsiTheme="minorHAnsi" w:cs="Arial"/>
          <w:i/>
          <w:sz w:val="20"/>
          <w:szCs w:val="20"/>
        </w:rPr>
        <w:br/>
        <w:t>Marseille</w:t>
      </w:r>
      <w:r w:rsidR="000C440E" w:rsidRPr="00C13EFD">
        <w:rPr>
          <w:rFonts w:asciiTheme="minorHAnsi" w:hAnsiTheme="minorHAnsi" w:cs="Arial"/>
          <w:i/>
          <w:sz w:val="20"/>
          <w:szCs w:val="20"/>
        </w:rPr>
        <w:t>,</w:t>
      </w:r>
      <w:r w:rsidRPr="00C13EFD">
        <w:rPr>
          <w:rFonts w:asciiTheme="minorHAnsi" w:hAnsiTheme="minorHAnsi" w:cs="Arial"/>
          <w:i/>
          <w:sz w:val="20"/>
          <w:szCs w:val="20"/>
        </w:rPr>
        <w:t xml:space="preserve"> le 15 mai 2019</w:t>
      </w:r>
    </w:p>
    <w:p w:rsidR="005D4A2E" w:rsidRPr="00C13EFD" w:rsidRDefault="005D4A2E" w:rsidP="00D15749">
      <w:pPr>
        <w:pStyle w:val="Titre"/>
        <w:spacing w:line="276" w:lineRule="auto"/>
        <w:jc w:val="center"/>
        <w:rPr>
          <w:rFonts w:asciiTheme="minorHAnsi" w:hAnsiTheme="minorHAnsi" w:cs="Arial"/>
          <w:b/>
          <w:sz w:val="32"/>
          <w:szCs w:val="32"/>
        </w:rPr>
      </w:pPr>
    </w:p>
    <w:p w:rsidR="00D15749" w:rsidRPr="00C13EFD" w:rsidRDefault="00CD2B9B" w:rsidP="00D15749">
      <w:pPr>
        <w:pStyle w:val="Titre"/>
        <w:spacing w:line="276" w:lineRule="auto"/>
        <w:jc w:val="center"/>
        <w:rPr>
          <w:rFonts w:asciiTheme="minorHAnsi" w:hAnsiTheme="minorHAnsi" w:cs="Arial"/>
          <w:b/>
          <w:color w:val="0364AA"/>
          <w:sz w:val="32"/>
          <w:szCs w:val="32"/>
        </w:rPr>
      </w:pPr>
      <w:proofErr w:type="gramStart"/>
      <w:r w:rsidRPr="00C13EFD">
        <w:rPr>
          <w:rFonts w:asciiTheme="minorHAnsi" w:hAnsiTheme="minorHAnsi" w:cs="Arial"/>
          <w:b/>
          <w:color w:val="0364AA"/>
          <w:sz w:val="32"/>
          <w:szCs w:val="32"/>
        </w:rPr>
        <w:t xml:space="preserve">Le </w:t>
      </w:r>
      <w:r w:rsidR="008F4AF6" w:rsidRPr="00C13EFD">
        <w:rPr>
          <w:rFonts w:asciiTheme="minorHAnsi" w:hAnsiTheme="minorHAnsi" w:cs="Arial"/>
          <w:b/>
          <w:color w:val="0364AA"/>
          <w:sz w:val="32"/>
          <w:szCs w:val="32"/>
        </w:rPr>
        <w:t xml:space="preserve"> FIPHFP</w:t>
      </w:r>
      <w:proofErr w:type="gramEnd"/>
      <w:r w:rsidR="008F4AF6" w:rsidRPr="00C13EFD">
        <w:rPr>
          <w:rFonts w:asciiTheme="minorHAnsi" w:hAnsiTheme="minorHAnsi" w:cs="Arial"/>
          <w:b/>
          <w:color w:val="0364AA"/>
          <w:sz w:val="32"/>
          <w:szCs w:val="32"/>
        </w:rPr>
        <w:t xml:space="preserve"> et l’AP-HM </w:t>
      </w:r>
      <w:r w:rsidRPr="00C13EFD">
        <w:rPr>
          <w:rFonts w:asciiTheme="minorHAnsi" w:hAnsiTheme="minorHAnsi" w:cs="Arial"/>
          <w:b/>
          <w:color w:val="0364AA"/>
          <w:sz w:val="32"/>
          <w:szCs w:val="32"/>
        </w:rPr>
        <w:t>signent une convention</w:t>
      </w:r>
      <w:r w:rsidR="005D4A2E" w:rsidRPr="00C13EFD">
        <w:rPr>
          <w:rFonts w:asciiTheme="minorHAnsi" w:hAnsiTheme="minorHAnsi" w:cs="Arial"/>
          <w:b/>
          <w:color w:val="0364AA"/>
          <w:sz w:val="32"/>
          <w:szCs w:val="32"/>
        </w:rPr>
        <w:t xml:space="preserve"> en faveur </w:t>
      </w:r>
      <w:r w:rsidR="00004F6F" w:rsidRPr="00C13EFD">
        <w:rPr>
          <w:rFonts w:asciiTheme="minorHAnsi" w:hAnsiTheme="minorHAnsi" w:cs="Arial"/>
          <w:b/>
          <w:color w:val="0364AA"/>
          <w:sz w:val="32"/>
          <w:szCs w:val="32"/>
        </w:rPr>
        <w:br/>
      </w:r>
      <w:r w:rsidR="005D4A2E" w:rsidRPr="00C13EFD">
        <w:rPr>
          <w:rFonts w:asciiTheme="minorHAnsi" w:hAnsiTheme="minorHAnsi" w:cs="Arial"/>
          <w:b/>
          <w:color w:val="0364AA"/>
          <w:sz w:val="32"/>
          <w:szCs w:val="32"/>
        </w:rPr>
        <w:t xml:space="preserve">d’une </w:t>
      </w:r>
      <w:r w:rsidR="00D15749" w:rsidRPr="00C13EFD">
        <w:rPr>
          <w:rFonts w:asciiTheme="minorHAnsi" w:hAnsiTheme="minorHAnsi" w:cs="Arial"/>
          <w:b/>
          <w:color w:val="0364AA"/>
          <w:sz w:val="32"/>
          <w:szCs w:val="32"/>
        </w:rPr>
        <w:t xml:space="preserve">politique </w:t>
      </w:r>
      <w:r w:rsidR="005D4A2E" w:rsidRPr="00C13EFD">
        <w:rPr>
          <w:rFonts w:asciiTheme="minorHAnsi" w:hAnsiTheme="minorHAnsi" w:cs="Arial"/>
          <w:b/>
          <w:color w:val="0364AA"/>
          <w:sz w:val="32"/>
          <w:szCs w:val="32"/>
        </w:rPr>
        <w:t xml:space="preserve">handicap </w:t>
      </w:r>
      <w:r w:rsidR="00D15749" w:rsidRPr="00C13EFD">
        <w:rPr>
          <w:rFonts w:asciiTheme="minorHAnsi" w:hAnsiTheme="minorHAnsi" w:cs="Arial"/>
          <w:b/>
          <w:color w:val="0364AA"/>
          <w:sz w:val="32"/>
          <w:szCs w:val="32"/>
        </w:rPr>
        <w:t>ambitieuse</w:t>
      </w:r>
    </w:p>
    <w:p w:rsidR="008F4AF6" w:rsidRPr="00C13EFD" w:rsidRDefault="008F4AF6" w:rsidP="00D15749">
      <w:pPr>
        <w:spacing w:line="360" w:lineRule="auto"/>
        <w:jc w:val="both"/>
        <w:rPr>
          <w:rFonts w:asciiTheme="minorHAnsi" w:hAnsiTheme="minorHAnsi" w:cs="Arial"/>
          <w:b/>
          <w:highlight w:val="yellow"/>
        </w:rPr>
      </w:pPr>
    </w:p>
    <w:p w:rsidR="008F4AF6" w:rsidRPr="00C13EFD" w:rsidRDefault="00CD2B9B" w:rsidP="00004F6F">
      <w:pPr>
        <w:jc w:val="both"/>
        <w:rPr>
          <w:rFonts w:asciiTheme="minorHAnsi" w:hAnsiTheme="minorHAnsi" w:cs="Arial"/>
          <w:b/>
          <w:i/>
        </w:rPr>
      </w:pPr>
      <w:r w:rsidRPr="00C13EFD">
        <w:rPr>
          <w:rFonts w:asciiTheme="minorHAnsi" w:eastAsiaTheme="minorEastAsia" w:hAnsiTheme="minorHAnsi" w:cs="Arial"/>
          <w:b/>
          <w:i/>
          <w:spacing w:val="15"/>
        </w:rPr>
        <w:t>Ce m</w:t>
      </w:r>
      <w:r w:rsidR="008F4AF6" w:rsidRPr="00C13EFD">
        <w:rPr>
          <w:rFonts w:asciiTheme="minorHAnsi" w:eastAsiaTheme="minorEastAsia" w:hAnsiTheme="minorHAnsi" w:cs="Arial"/>
          <w:b/>
          <w:i/>
          <w:spacing w:val="15"/>
        </w:rPr>
        <w:t>ercredi 15 mai, Jean-Olivier Arnaud, Directeur Général de l’AP-H</w:t>
      </w:r>
      <w:r w:rsidR="005D4A2E" w:rsidRPr="00C13EFD">
        <w:rPr>
          <w:rFonts w:asciiTheme="minorHAnsi" w:eastAsiaTheme="minorEastAsia" w:hAnsiTheme="minorHAnsi" w:cs="Arial"/>
          <w:b/>
          <w:i/>
          <w:spacing w:val="15"/>
        </w:rPr>
        <w:t>M</w:t>
      </w:r>
      <w:r w:rsidR="00D56924" w:rsidRPr="00C13EFD">
        <w:rPr>
          <w:rFonts w:asciiTheme="minorHAnsi" w:hAnsiTheme="minorHAnsi" w:cs="Arial"/>
          <w:b/>
          <w:i/>
        </w:rPr>
        <w:t xml:space="preserve"> </w:t>
      </w:r>
      <w:r w:rsidR="005D4A2E" w:rsidRPr="00C13EFD">
        <w:rPr>
          <w:rFonts w:asciiTheme="minorHAnsi" w:eastAsiaTheme="minorEastAsia" w:hAnsiTheme="minorHAnsi" w:cs="Arial"/>
          <w:b/>
          <w:i/>
          <w:spacing w:val="15"/>
        </w:rPr>
        <w:t>et</w:t>
      </w:r>
      <w:r w:rsidR="008F4AF6" w:rsidRPr="00C13EFD">
        <w:rPr>
          <w:rFonts w:asciiTheme="minorHAnsi" w:eastAsiaTheme="minorEastAsia" w:hAnsiTheme="minorHAnsi" w:cs="Arial"/>
          <w:b/>
          <w:i/>
          <w:spacing w:val="15"/>
        </w:rPr>
        <w:t xml:space="preserve"> </w:t>
      </w:r>
      <w:r w:rsidRPr="00C13EFD">
        <w:rPr>
          <w:rFonts w:asciiTheme="minorHAnsi" w:eastAsiaTheme="minorEastAsia" w:hAnsiTheme="minorHAnsi" w:cs="Arial"/>
          <w:b/>
          <w:i/>
          <w:spacing w:val="15"/>
        </w:rPr>
        <w:t>Hélène Berenguier,</w:t>
      </w:r>
      <w:r w:rsidR="00D56924" w:rsidRPr="00C13EFD">
        <w:rPr>
          <w:rFonts w:asciiTheme="minorHAnsi" w:hAnsiTheme="minorHAnsi" w:cs="Arial"/>
          <w:b/>
          <w:i/>
        </w:rPr>
        <w:t xml:space="preserve"> </w:t>
      </w:r>
      <w:r w:rsidRPr="00C13EFD">
        <w:rPr>
          <w:rFonts w:asciiTheme="minorHAnsi" w:eastAsiaTheme="minorEastAsia" w:hAnsiTheme="minorHAnsi" w:cs="Arial"/>
          <w:b/>
          <w:i/>
          <w:spacing w:val="15"/>
        </w:rPr>
        <w:t xml:space="preserve">Directrice adjointe du </w:t>
      </w:r>
      <w:r w:rsidR="008F4AF6" w:rsidRPr="00C13EFD">
        <w:rPr>
          <w:rFonts w:asciiTheme="minorHAnsi" w:eastAsiaTheme="minorEastAsia" w:hAnsiTheme="minorHAnsi" w:cs="Arial"/>
          <w:b/>
          <w:i/>
          <w:spacing w:val="15"/>
        </w:rPr>
        <w:t xml:space="preserve">Fonds pour l’insertion des personnes handicapées dans la fonction </w:t>
      </w:r>
      <w:r w:rsidRPr="00C13EFD">
        <w:rPr>
          <w:rFonts w:asciiTheme="minorHAnsi" w:eastAsiaTheme="minorEastAsia" w:hAnsiTheme="minorHAnsi" w:cs="Arial"/>
          <w:b/>
          <w:i/>
          <w:spacing w:val="15"/>
        </w:rPr>
        <w:t>p</w:t>
      </w:r>
      <w:r w:rsidR="008F4AF6" w:rsidRPr="00C13EFD">
        <w:rPr>
          <w:rFonts w:asciiTheme="minorHAnsi" w:eastAsiaTheme="minorEastAsia" w:hAnsiTheme="minorHAnsi" w:cs="Arial"/>
          <w:b/>
          <w:i/>
          <w:spacing w:val="15"/>
        </w:rPr>
        <w:t>ublique (FIPHFP)</w:t>
      </w:r>
      <w:r w:rsidR="005D4A2E" w:rsidRPr="00C13EFD">
        <w:rPr>
          <w:rFonts w:asciiTheme="minorHAnsi" w:hAnsiTheme="minorHAnsi" w:cs="Arial"/>
          <w:b/>
          <w:i/>
        </w:rPr>
        <w:t xml:space="preserve"> </w:t>
      </w:r>
      <w:r w:rsidR="005D4A2E" w:rsidRPr="00C13EFD">
        <w:rPr>
          <w:rFonts w:asciiTheme="minorHAnsi" w:eastAsiaTheme="minorEastAsia" w:hAnsiTheme="minorHAnsi" w:cs="Arial"/>
          <w:b/>
          <w:i/>
          <w:spacing w:val="15"/>
        </w:rPr>
        <w:t xml:space="preserve">ont signé une convention triennale (2019-2022) pour témoigner </w:t>
      </w:r>
      <w:r w:rsidR="008F4AF6" w:rsidRPr="00C13EFD">
        <w:rPr>
          <w:rFonts w:asciiTheme="minorHAnsi" w:hAnsiTheme="minorHAnsi" w:cs="Arial"/>
          <w:b/>
          <w:i/>
        </w:rPr>
        <w:t>de l’engagement de l’AP-HM en faveur de l’insertion et du maintien dans l’emploi des personnes en situation de handicap</w:t>
      </w:r>
      <w:r w:rsidR="006A22B5">
        <w:rPr>
          <w:rFonts w:asciiTheme="minorHAnsi" w:hAnsiTheme="minorHAnsi" w:cs="Arial"/>
          <w:b/>
          <w:i/>
        </w:rPr>
        <w:t>,</w:t>
      </w:r>
      <w:r w:rsidR="00F905A0">
        <w:rPr>
          <w:rFonts w:asciiTheme="minorHAnsi" w:hAnsiTheme="minorHAnsi" w:cs="Arial"/>
          <w:b/>
          <w:i/>
        </w:rPr>
        <w:t xml:space="preserve"> </w:t>
      </w:r>
      <w:r w:rsidR="00E439D8">
        <w:rPr>
          <w:rFonts w:asciiTheme="minorHAnsi" w:hAnsiTheme="minorHAnsi"/>
          <w:b/>
          <w:i/>
        </w:rPr>
        <w:t xml:space="preserve">en présence de Yannick </w:t>
      </w:r>
      <w:proofErr w:type="spellStart"/>
      <w:r w:rsidR="00E439D8">
        <w:rPr>
          <w:rFonts w:asciiTheme="minorHAnsi" w:hAnsiTheme="minorHAnsi"/>
          <w:b/>
          <w:i/>
        </w:rPr>
        <w:t>Schimpf</w:t>
      </w:r>
      <w:proofErr w:type="spellEnd"/>
      <w:r w:rsidR="00E439D8">
        <w:rPr>
          <w:rFonts w:asciiTheme="minorHAnsi" w:hAnsiTheme="minorHAnsi"/>
          <w:b/>
          <w:i/>
        </w:rPr>
        <w:t xml:space="preserve">, </w:t>
      </w:r>
      <w:r w:rsidR="00F905A0" w:rsidRPr="007C28F0">
        <w:rPr>
          <w:rFonts w:asciiTheme="minorHAnsi" w:hAnsiTheme="minorHAnsi"/>
          <w:b/>
          <w:i/>
        </w:rPr>
        <w:t xml:space="preserve">Directeur régional adjoint de la Caisse des </w:t>
      </w:r>
      <w:r w:rsidR="006A22B5">
        <w:rPr>
          <w:rFonts w:asciiTheme="minorHAnsi" w:hAnsiTheme="minorHAnsi"/>
          <w:b/>
          <w:i/>
        </w:rPr>
        <w:t>D</w:t>
      </w:r>
      <w:r w:rsidR="006A22B5" w:rsidRPr="007C28F0">
        <w:rPr>
          <w:rFonts w:asciiTheme="minorHAnsi" w:hAnsiTheme="minorHAnsi"/>
          <w:b/>
          <w:i/>
        </w:rPr>
        <w:t xml:space="preserve">épôts </w:t>
      </w:r>
      <w:r w:rsidR="00F905A0" w:rsidRPr="007C28F0">
        <w:rPr>
          <w:rFonts w:asciiTheme="minorHAnsi" w:hAnsiTheme="minorHAnsi"/>
          <w:b/>
          <w:i/>
        </w:rPr>
        <w:t>en PACA</w:t>
      </w:r>
      <w:r w:rsidR="00F905A0">
        <w:rPr>
          <w:rFonts w:asciiTheme="minorHAnsi" w:hAnsiTheme="minorHAnsi"/>
          <w:b/>
          <w:i/>
        </w:rPr>
        <w:t>.</w:t>
      </w:r>
    </w:p>
    <w:p w:rsidR="00D15749" w:rsidRPr="00C13EFD" w:rsidRDefault="00D15749" w:rsidP="00D15749">
      <w:pPr>
        <w:jc w:val="both"/>
        <w:rPr>
          <w:rFonts w:asciiTheme="minorHAnsi" w:hAnsiTheme="minorHAnsi" w:cs="Arial"/>
        </w:rPr>
      </w:pPr>
    </w:p>
    <w:p w:rsidR="00D15749" w:rsidRPr="00C13EFD" w:rsidRDefault="00D15749" w:rsidP="00D15749">
      <w:pPr>
        <w:jc w:val="both"/>
        <w:rPr>
          <w:rFonts w:asciiTheme="minorHAnsi" w:hAnsiTheme="minorHAnsi" w:cs="Arial"/>
        </w:rPr>
      </w:pPr>
      <w:r w:rsidRPr="00C13EFD">
        <w:rPr>
          <w:rFonts w:asciiTheme="minorHAnsi" w:hAnsiTheme="minorHAnsi" w:cs="Arial"/>
        </w:rPr>
        <w:t>Principal employeur dans le domaine de la santé de la région, l’AP-HM ambitionne de concourir à la réussite de l’insertion professionnelle et du maintien dans l’emploi des travailleurs handicapés</w:t>
      </w:r>
      <w:r w:rsidR="003166A2" w:rsidRPr="00C13EFD">
        <w:rPr>
          <w:rFonts w:asciiTheme="minorHAnsi" w:hAnsiTheme="minorHAnsi" w:cs="Arial"/>
        </w:rPr>
        <w:t xml:space="preserve"> par la mobilisation de l’ensemble des moyens humains et techniques</w:t>
      </w:r>
      <w:r w:rsidRPr="00C13EFD">
        <w:rPr>
          <w:rFonts w:asciiTheme="minorHAnsi" w:hAnsiTheme="minorHAnsi" w:cs="Arial"/>
        </w:rPr>
        <w:t>.</w:t>
      </w:r>
    </w:p>
    <w:p w:rsidR="003166A2" w:rsidRPr="00C13EFD" w:rsidRDefault="00D15749" w:rsidP="00D15749">
      <w:pPr>
        <w:jc w:val="both"/>
        <w:rPr>
          <w:rFonts w:asciiTheme="minorHAnsi" w:hAnsiTheme="minorHAnsi" w:cs="Arial"/>
        </w:rPr>
      </w:pPr>
      <w:r w:rsidRPr="00C13EFD">
        <w:rPr>
          <w:rFonts w:asciiTheme="minorHAnsi" w:hAnsiTheme="minorHAnsi" w:cs="Arial"/>
        </w:rPr>
        <w:t xml:space="preserve">Dans le cadre de son projet social </w:t>
      </w:r>
      <w:r w:rsidR="003166A2" w:rsidRPr="00C13EFD">
        <w:rPr>
          <w:rFonts w:asciiTheme="minorHAnsi" w:hAnsiTheme="minorHAnsi" w:cs="Arial"/>
        </w:rPr>
        <w:t>de son</w:t>
      </w:r>
      <w:r w:rsidRPr="00C13EFD">
        <w:rPr>
          <w:rFonts w:asciiTheme="minorHAnsi" w:hAnsiTheme="minorHAnsi" w:cs="Arial"/>
        </w:rPr>
        <w:t xml:space="preserve"> projet d’établissement 2017-2022, l’AP-HM a inscrit la politique handicap parmi les axes majeurs de </w:t>
      </w:r>
      <w:r w:rsidR="003166A2" w:rsidRPr="00C13EFD">
        <w:rPr>
          <w:rFonts w:asciiTheme="minorHAnsi" w:hAnsiTheme="minorHAnsi" w:cs="Arial"/>
        </w:rPr>
        <w:t>sa politique Ressources H</w:t>
      </w:r>
      <w:r w:rsidRPr="00C13EFD">
        <w:rPr>
          <w:rFonts w:asciiTheme="minorHAnsi" w:hAnsiTheme="minorHAnsi" w:cs="Arial"/>
        </w:rPr>
        <w:t>umaines.</w:t>
      </w:r>
      <w:r w:rsidRPr="00C13EFD">
        <w:rPr>
          <w:rFonts w:asciiTheme="minorHAnsi" w:hAnsiTheme="minorHAnsi" w:cs="Arial"/>
        </w:rPr>
        <w:br/>
        <w:t>La convention</w:t>
      </w:r>
      <w:r w:rsidR="00E439D8">
        <w:rPr>
          <w:rFonts w:asciiTheme="minorHAnsi" w:hAnsiTheme="minorHAnsi" w:cs="Arial"/>
        </w:rPr>
        <w:t xml:space="preserve">, d’un montant de 720 000 euros sur 3 </w:t>
      </w:r>
      <w:proofErr w:type="gramStart"/>
      <w:r w:rsidR="00E439D8">
        <w:rPr>
          <w:rFonts w:asciiTheme="minorHAnsi" w:hAnsiTheme="minorHAnsi" w:cs="Arial"/>
        </w:rPr>
        <w:t xml:space="preserve">ans, </w:t>
      </w:r>
      <w:r w:rsidRPr="00C13EFD">
        <w:rPr>
          <w:rFonts w:asciiTheme="minorHAnsi" w:hAnsiTheme="minorHAnsi" w:cs="Arial"/>
        </w:rPr>
        <w:t xml:space="preserve"> permettra</w:t>
      </w:r>
      <w:proofErr w:type="gramEnd"/>
      <w:r w:rsidRPr="00C13EFD">
        <w:rPr>
          <w:rFonts w:asciiTheme="minorHAnsi" w:hAnsiTheme="minorHAnsi" w:cs="Arial"/>
        </w:rPr>
        <w:t xml:space="preserve"> de renforcer l’engagement de l’AP-HM dans ce domaine et </w:t>
      </w:r>
      <w:r w:rsidR="00CD2B9B" w:rsidRPr="00C13EFD">
        <w:rPr>
          <w:rFonts w:asciiTheme="minorHAnsi" w:hAnsiTheme="minorHAnsi" w:cs="Arial"/>
        </w:rPr>
        <w:t>d’</w:t>
      </w:r>
      <w:r w:rsidRPr="00C13EFD">
        <w:rPr>
          <w:rFonts w:asciiTheme="minorHAnsi" w:hAnsiTheme="minorHAnsi" w:cs="Arial"/>
        </w:rPr>
        <w:t>améliorer la visibilité des actions menées en faveur des personnes en situation de handicap.</w:t>
      </w:r>
    </w:p>
    <w:p w:rsidR="00CD2B9B" w:rsidRPr="00C13EFD" w:rsidRDefault="00D15749" w:rsidP="00D15749">
      <w:pPr>
        <w:jc w:val="both"/>
        <w:rPr>
          <w:rFonts w:asciiTheme="minorHAnsi" w:hAnsiTheme="minorHAnsi" w:cs="Arial"/>
        </w:rPr>
      </w:pPr>
      <w:r w:rsidRPr="00C13EFD">
        <w:rPr>
          <w:rFonts w:asciiTheme="minorHAnsi" w:hAnsiTheme="minorHAnsi" w:cs="Arial"/>
        </w:rPr>
        <w:br/>
        <w:t>Au travers de cette convention, l’AP-HM s’engage à :</w:t>
      </w:r>
    </w:p>
    <w:p w:rsidR="00CD2B9B" w:rsidRPr="00C13EFD" w:rsidRDefault="00D15749" w:rsidP="00004F6F">
      <w:pPr>
        <w:pStyle w:val="Paragraphedeliste"/>
        <w:numPr>
          <w:ilvl w:val="0"/>
          <w:numId w:val="3"/>
        </w:numPr>
        <w:jc w:val="both"/>
        <w:rPr>
          <w:rFonts w:asciiTheme="minorHAnsi" w:hAnsiTheme="minorHAnsi" w:cs="Arial"/>
        </w:rPr>
      </w:pPr>
      <w:r w:rsidRPr="00C13EFD">
        <w:rPr>
          <w:rFonts w:asciiTheme="minorHAnsi" w:hAnsiTheme="minorHAnsi" w:cs="Arial"/>
        </w:rPr>
        <w:t>Structurer le dispositif institutionnel en poursuivant la politique en faveur des personnels en situation de handicap ou des personnes présentant des restrictions médicales</w:t>
      </w:r>
    </w:p>
    <w:p w:rsidR="00CD2B9B" w:rsidRPr="00C13EFD" w:rsidRDefault="003166A2" w:rsidP="00CD2B9B">
      <w:pPr>
        <w:pStyle w:val="Paragraphedeliste"/>
        <w:numPr>
          <w:ilvl w:val="0"/>
          <w:numId w:val="3"/>
        </w:numPr>
        <w:jc w:val="both"/>
        <w:rPr>
          <w:rFonts w:asciiTheme="minorHAnsi" w:hAnsiTheme="minorHAnsi" w:cs="Arial"/>
        </w:rPr>
      </w:pPr>
      <w:r w:rsidRPr="00C13EFD">
        <w:rPr>
          <w:rFonts w:asciiTheme="minorHAnsi" w:hAnsiTheme="minorHAnsi" w:cs="Arial"/>
        </w:rPr>
        <w:t xml:space="preserve">Mener un certain nombre d’actions déclinées dans des fiches actions et notamment : </w:t>
      </w:r>
    </w:p>
    <w:p w:rsidR="00CD2B9B" w:rsidRPr="00C13EFD" w:rsidRDefault="003166A2" w:rsidP="00CD2B9B">
      <w:pPr>
        <w:pStyle w:val="Paragraphedeliste"/>
        <w:numPr>
          <w:ilvl w:val="0"/>
          <w:numId w:val="4"/>
        </w:numPr>
        <w:jc w:val="both"/>
        <w:rPr>
          <w:rFonts w:asciiTheme="minorHAnsi" w:hAnsiTheme="minorHAnsi" w:cs="Arial"/>
        </w:rPr>
      </w:pPr>
      <w:r w:rsidRPr="00C13EFD">
        <w:rPr>
          <w:rFonts w:asciiTheme="minorHAnsi" w:hAnsiTheme="minorHAnsi" w:cs="Arial"/>
        </w:rPr>
        <w:t>la désignation d’un référent handicap</w:t>
      </w:r>
    </w:p>
    <w:p w:rsidR="00CD2B9B" w:rsidRPr="00C13EFD" w:rsidRDefault="003166A2" w:rsidP="00CD2B9B">
      <w:pPr>
        <w:pStyle w:val="Paragraphedeliste"/>
        <w:numPr>
          <w:ilvl w:val="0"/>
          <w:numId w:val="4"/>
        </w:numPr>
        <w:jc w:val="both"/>
        <w:rPr>
          <w:rFonts w:asciiTheme="minorHAnsi" w:hAnsiTheme="minorHAnsi" w:cs="Arial"/>
        </w:rPr>
      </w:pPr>
      <w:r w:rsidRPr="00C13EFD">
        <w:rPr>
          <w:rFonts w:asciiTheme="minorHAnsi" w:hAnsiTheme="minorHAnsi" w:cs="Arial"/>
        </w:rPr>
        <w:t>la formation des personnes ressources du dispositif handicap</w:t>
      </w:r>
    </w:p>
    <w:p w:rsidR="00CD2B9B" w:rsidRPr="00C13EFD" w:rsidRDefault="003166A2" w:rsidP="00CD2B9B">
      <w:pPr>
        <w:pStyle w:val="Paragraphedeliste"/>
        <w:numPr>
          <w:ilvl w:val="0"/>
          <w:numId w:val="4"/>
        </w:numPr>
        <w:jc w:val="both"/>
        <w:rPr>
          <w:rFonts w:asciiTheme="minorHAnsi" w:hAnsiTheme="minorHAnsi" w:cs="Arial"/>
        </w:rPr>
      </w:pPr>
      <w:r w:rsidRPr="00C13EFD">
        <w:rPr>
          <w:rFonts w:asciiTheme="minorHAnsi" w:hAnsiTheme="minorHAnsi" w:cs="Arial"/>
        </w:rPr>
        <w:t>le développement d’action de sensibilisation du personnel</w:t>
      </w:r>
    </w:p>
    <w:p w:rsidR="00CD2B9B" w:rsidRPr="00C13EFD" w:rsidRDefault="003166A2" w:rsidP="00CD2B9B">
      <w:pPr>
        <w:pStyle w:val="Paragraphedeliste"/>
        <w:numPr>
          <w:ilvl w:val="0"/>
          <w:numId w:val="4"/>
        </w:numPr>
        <w:jc w:val="both"/>
        <w:rPr>
          <w:rFonts w:asciiTheme="minorHAnsi" w:hAnsiTheme="minorHAnsi" w:cs="Arial"/>
        </w:rPr>
      </w:pPr>
      <w:r w:rsidRPr="00C13EFD">
        <w:rPr>
          <w:rFonts w:asciiTheme="minorHAnsi" w:hAnsiTheme="minorHAnsi" w:cs="Arial"/>
        </w:rPr>
        <w:t>la mise en place d’une politique de recrutement et d’accompagnement des personnes en situation de handicap</w:t>
      </w:r>
    </w:p>
    <w:p w:rsidR="00CD2B9B" w:rsidRPr="00C13EFD" w:rsidRDefault="003166A2" w:rsidP="00CD2B9B">
      <w:pPr>
        <w:pStyle w:val="Paragraphedeliste"/>
        <w:numPr>
          <w:ilvl w:val="0"/>
          <w:numId w:val="4"/>
        </w:numPr>
        <w:jc w:val="both"/>
        <w:rPr>
          <w:rFonts w:asciiTheme="minorHAnsi" w:hAnsiTheme="minorHAnsi" w:cs="Arial"/>
        </w:rPr>
      </w:pPr>
      <w:r w:rsidRPr="00C13EFD">
        <w:rPr>
          <w:rFonts w:asciiTheme="minorHAnsi" w:hAnsiTheme="minorHAnsi" w:cs="Arial"/>
        </w:rPr>
        <w:t>le maintien et/ou le retour à l’emploi des agents en situation de handicap ou présentant des restrictions médicales</w:t>
      </w:r>
    </w:p>
    <w:p w:rsidR="005D4A2E" w:rsidRPr="00C13EFD" w:rsidRDefault="003166A2" w:rsidP="00CD2B9B">
      <w:pPr>
        <w:pStyle w:val="Paragraphedeliste"/>
        <w:numPr>
          <w:ilvl w:val="0"/>
          <w:numId w:val="4"/>
        </w:numPr>
        <w:jc w:val="both"/>
        <w:rPr>
          <w:rFonts w:asciiTheme="minorHAnsi" w:hAnsiTheme="minorHAnsi" w:cs="Arial"/>
        </w:rPr>
      </w:pPr>
      <w:r w:rsidRPr="00C13EFD">
        <w:rPr>
          <w:rFonts w:asciiTheme="minorHAnsi" w:hAnsiTheme="minorHAnsi" w:cs="Arial"/>
        </w:rPr>
        <w:t>l’aménagement ou l’adaptation des postes de travail</w:t>
      </w:r>
    </w:p>
    <w:p w:rsidR="0060360E" w:rsidRPr="00C13EFD" w:rsidRDefault="003166A2" w:rsidP="00004F6F">
      <w:pPr>
        <w:pStyle w:val="Paragraphedeliste"/>
        <w:numPr>
          <w:ilvl w:val="0"/>
          <w:numId w:val="4"/>
        </w:numPr>
        <w:jc w:val="both"/>
        <w:rPr>
          <w:rFonts w:asciiTheme="minorHAnsi" w:hAnsiTheme="minorHAnsi" w:cs="Arial"/>
        </w:rPr>
      </w:pPr>
      <w:r w:rsidRPr="00C13EFD">
        <w:rPr>
          <w:rFonts w:asciiTheme="minorHAnsi" w:hAnsiTheme="minorHAnsi" w:cs="Arial"/>
        </w:rPr>
        <w:t>la formation et l’orientation professionnelle.</w:t>
      </w:r>
    </w:p>
    <w:p w:rsidR="003166A2" w:rsidRPr="00C13EFD" w:rsidRDefault="003166A2" w:rsidP="00004F6F">
      <w:pPr>
        <w:pStyle w:val="Paragraphedeliste"/>
        <w:jc w:val="both"/>
        <w:rPr>
          <w:rFonts w:asciiTheme="minorHAnsi" w:hAnsiTheme="minorHAnsi" w:cs="Arial"/>
        </w:rPr>
      </w:pPr>
    </w:p>
    <w:p w:rsidR="00D15749" w:rsidRPr="00C13EFD" w:rsidRDefault="00D15749" w:rsidP="0060360E">
      <w:pPr>
        <w:rPr>
          <w:rFonts w:asciiTheme="minorHAnsi" w:eastAsiaTheme="majorEastAsia" w:hAnsiTheme="minorHAnsi" w:cs="Arial"/>
          <w:color w:val="45B2C8"/>
          <w:sz w:val="22"/>
        </w:rPr>
      </w:pPr>
    </w:p>
    <w:p w:rsidR="00D15749" w:rsidRPr="00C13EFD" w:rsidRDefault="00D15749" w:rsidP="00D15749">
      <w:pPr>
        <w:rPr>
          <w:rFonts w:asciiTheme="minorHAnsi" w:eastAsiaTheme="majorEastAsia" w:hAnsiTheme="minorHAnsi" w:cs="Arial"/>
          <w:b/>
          <w:color w:val="0364AA"/>
          <w:szCs w:val="22"/>
        </w:rPr>
      </w:pPr>
      <w:r w:rsidRPr="00C13EFD">
        <w:rPr>
          <w:rFonts w:asciiTheme="minorHAnsi" w:eastAsiaTheme="majorEastAsia" w:hAnsiTheme="minorHAnsi" w:cs="Arial"/>
          <w:b/>
          <w:color w:val="0364AA"/>
          <w:szCs w:val="22"/>
        </w:rPr>
        <w:t>Le FIPHFP, au service des employeurs publics</w:t>
      </w:r>
    </w:p>
    <w:p w:rsidR="005D4A2E" w:rsidRPr="00C13EFD" w:rsidRDefault="005D4A2E" w:rsidP="00D15749">
      <w:pPr>
        <w:rPr>
          <w:rFonts w:asciiTheme="minorHAnsi" w:hAnsiTheme="minorHAnsi" w:cs="Arial"/>
          <w:sz w:val="22"/>
          <w:szCs w:val="22"/>
        </w:rPr>
      </w:pPr>
    </w:p>
    <w:p w:rsidR="00D15749" w:rsidRPr="00C13EFD" w:rsidRDefault="00D15749" w:rsidP="00D15749">
      <w:pPr>
        <w:pStyle w:val="Sansinterligne"/>
        <w:jc w:val="both"/>
        <w:rPr>
          <w:rFonts w:asciiTheme="minorHAnsi" w:hAnsiTheme="minorHAnsi" w:cs="Arial"/>
          <w:color w:val="auto"/>
          <w:sz w:val="22"/>
        </w:rPr>
      </w:pPr>
      <w:r w:rsidRPr="00C13EFD">
        <w:rPr>
          <w:rFonts w:asciiTheme="minorHAnsi" w:hAnsiTheme="minorHAnsi" w:cs="Arial"/>
          <w:color w:val="auto"/>
          <w:sz w:val="22"/>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w:t>
      </w:r>
    </w:p>
    <w:p w:rsidR="00D15749" w:rsidRPr="00C13EFD" w:rsidRDefault="00D15749" w:rsidP="00D15749">
      <w:pPr>
        <w:pStyle w:val="Sansinterligne"/>
        <w:jc w:val="both"/>
        <w:rPr>
          <w:rFonts w:asciiTheme="minorHAnsi" w:hAnsiTheme="minorHAnsi" w:cs="Arial"/>
          <w:color w:val="auto"/>
          <w:sz w:val="22"/>
        </w:rPr>
      </w:pPr>
      <w:r w:rsidRPr="00C13EFD">
        <w:rPr>
          <w:rFonts w:asciiTheme="minorHAnsi" w:hAnsiTheme="minorHAnsi" w:cs="Arial"/>
          <w:color w:val="auto"/>
          <w:sz w:val="22"/>
        </w:rPr>
        <w:t> </w:t>
      </w:r>
    </w:p>
    <w:p w:rsidR="00D15749" w:rsidRPr="00C13EFD" w:rsidRDefault="00D15749" w:rsidP="00D15749">
      <w:pPr>
        <w:pStyle w:val="Sansinterligne"/>
        <w:jc w:val="both"/>
        <w:rPr>
          <w:rFonts w:asciiTheme="minorHAnsi" w:hAnsiTheme="minorHAnsi" w:cs="Arial"/>
          <w:color w:val="auto"/>
          <w:sz w:val="22"/>
        </w:rPr>
      </w:pPr>
      <w:r w:rsidRPr="00C13EFD">
        <w:rPr>
          <w:rFonts w:asciiTheme="minorHAnsi" w:hAnsiTheme="minorHAnsi" w:cs="Arial"/>
          <w:color w:val="auto"/>
          <w:sz w:val="22"/>
        </w:rPr>
        <w:t>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5,61 % en 2018.</w:t>
      </w:r>
    </w:p>
    <w:p w:rsidR="00D15749" w:rsidRPr="00C13EFD" w:rsidRDefault="00D15749" w:rsidP="00D15749">
      <w:pPr>
        <w:pStyle w:val="Sansinterligne"/>
        <w:jc w:val="both"/>
        <w:rPr>
          <w:rFonts w:asciiTheme="minorHAnsi" w:hAnsiTheme="minorHAnsi" w:cs="Arial"/>
          <w:color w:val="auto"/>
          <w:sz w:val="22"/>
        </w:rPr>
      </w:pPr>
    </w:p>
    <w:p w:rsidR="00D15749" w:rsidRPr="00C13EFD" w:rsidRDefault="00D15749" w:rsidP="00D15749">
      <w:pPr>
        <w:pStyle w:val="Sansinterligne"/>
        <w:jc w:val="both"/>
        <w:rPr>
          <w:rFonts w:asciiTheme="minorHAnsi" w:hAnsiTheme="minorHAnsi" w:cs="Arial"/>
          <w:color w:val="auto"/>
          <w:sz w:val="22"/>
        </w:rPr>
      </w:pPr>
      <w:r w:rsidRPr="00C13EFD">
        <w:rPr>
          <w:rFonts w:asciiTheme="minorHAnsi" w:hAnsiTheme="minorHAnsi" w:cs="Arial"/>
          <w:color w:val="auto"/>
          <w:sz w:val="22"/>
        </w:rPr>
        <w:t>Le FIPHFP est un établissement public national dirigé par Marc DESJARDINS : « il est placé sous la tutelle des ministres chargés des personnes handicapées, de la fonction publique de l’État, de la fonction publique territoriale, de la fonction publique hospitalière et du budget » (</w:t>
      </w:r>
      <w:hyperlink r:id="rId9" w:history="1">
        <w:r w:rsidRPr="00C13EFD">
          <w:rPr>
            <w:rStyle w:val="Lienhypertexte"/>
            <w:rFonts w:asciiTheme="minorHAnsi" w:hAnsiTheme="minorHAnsi" w:cs="Arial"/>
            <w:color w:val="auto"/>
            <w:sz w:val="22"/>
            <w:u w:val="none"/>
          </w:rPr>
          <w:t>décret n° 2006-501 du 3 mai 2006</w:t>
        </w:r>
      </w:hyperlink>
      <w:r w:rsidRPr="00C13EFD">
        <w:rPr>
          <w:rFonts w:asciiTheme="minorHAnsi" w:hAnsiTheme="minorHAnsi" w:cs="Arial"/>
          <w:color w:val="auto"/>
          <w:sz w:val="22"/>
        </w:rPr>
        <w:t>). Sa gestion administrative est assurée par la Caisse des Dépôts et représenté en Région par sa Banque des Territoires.</w:t>
      </w:r>
    </w:p>
    <w:p w:rsidR="00D15749" w:rsidRPr="00C13EFD" w:rsidRDefault="00D15749" w:rsidP="00D15749">
      <w:pPr>
        <w:spacing w:line="360" w:lineRule="auto"/>
        <w:rPr>
          <w:rFonts w:asciiTheme="minorHAnsi" w:hAnsiTheme="minorHAnsi"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15749" w:rsidRPr="00C13EFD" w:rsidTr="00D15749">
        <w:trPr>
          <w:trHeight w:val="1123"/>
        </w:trPr>
        <w:tc>
          <w:tcPr>
            <w:tcW w:w="9842" w:type="dxa"/>
            <w:hideMark/>
          </w:tcPr>
          <w:p w:rsidR="00D15749" w:rsidRPr="00C13EFD" w:rsidRDefault="00D15749">
            <w:pPr>
              <w:pStyle w:val="Sansinterligne"/>
              <w:rPr>
                <w:rFonts w:asciiTheme="minorHAnsi" w:hAnsiTheme="minorHAnsi" w:cs="Arial"/>
                <w:color w:val="auto"/>
                <w:szCs w:val="20"/>
              </w:rPr>
            </w:pPr>
            <w:r w:rsidRPr="00C13EFD">
              <w:rPr>
                <w:rFonts w:asciiTheme="minorHAnsi" w:hAnsiTheme="minorHAnsi" w:cs="Arial"/>
                <w:b/>
                <w:color w:val="auto"/>
                <w:szCs w:val="20"/>
              </w:rPr>
              <w:br/>
            </w:r>
            <w:r w:rsidRPr="00C13EFD">
              <w:rPr>
                <w:rFonts w:asciiTheme="minorHAnsi" w:hAnsiTheme="minorHAnsi" w:cs="Arial"/>
                <w:color w:val="auto"/>
                <w:szCs w:val="20"/>
              </w:rPr>
              <w:t>Contact presse FIPHFP :</w:t>
            </w:r>
          </w:p>
          <w:p w:rsidR="00D15749" w:rsidRPr="00C13EFD" w:rsidRDefault="00D15749">
            <w:pPr>
              <w:pStyle w:val="Sansinterligne"/>
              <w:rPr>
                <w:rFonts w:asciiTheme="minorHAnsi" w:hAnsiTheme="minorHAnsi" w:cs="Arial"/>
                <w:color w:val="auto"/>
                <w:szCs w:val="20"/>
              </w:rPr>
            </w:pPr>
            <w:r w:rsidRPr="00C13EFD">
              <w:rPr>
                <w:rFonts w:asciiTheme="minorHAnsi" w:hAnsiTheme="minorHAnsi" w:cs="Arial"/>
                <w:color w:val="auto"/>
                <w:szCs w:val="20"/>
              </w:rPr>
              <w:t xml:space="preserve">Romain </w:t>
            </w:r>
            <w:r w:rsidR="005D4A2E" w:rsidRPr="00C13EFD">
              <w:rPr>
                <w:rFonts w:asciiTheme="minorHAnsi" w:hAnsiTheme="minorHAnsi" w:cs="Arial"/>
                <w:color w:val="auto"/>
                <w:szCs w:val="20"/>
              </w:rPr>
              <w:t xml:space="preserve">Jacquet </w:t>
            </w:r>
            <w:r w:rsidRPr="00C13EFD">
              <w:rPr>
                <w:rFonts w:asciiTheme="minorHAnsi" w:hAnsiTheme="minorHAnsi" w:cs="Arial"/>
                <w:color w:val="auto"/>
                <w:szCs w:val="20"/>
              </w:rPr>
              <w:t>–</w:t>
            </w:r>
            <w:r w:rsidR="005D4A2E" w:rsidRPr="00C13EFD">
              <w:rPr>
                <w:rFonts w:asciiTheme="minorHAnsi" w:hAnsiTheme="minorHAnsi" w:cs="Arial"/>
                <w:color w:val="auto"/>
                <w:szCs w:val="20"/>
              </w:rPr>
              <w:t xml:space="preserve"> </w:t>
            </w:r>
            <w:hyperlink r:id="rId10" w:history="1">
              <w:r w:rsidR="005D4A2E" w:rsidRPr="00C13EFD">
                <w:rPr>
                  <w:rStyle w:val="Lienhypertexte"/>
                  <w:rFonts w:asciiTheme="minorHAnsi" w:hAnsiTheme="minorHAnsi" w:cs="Arial"/>
                  <w:szCs w:val="20"/>
                </w:rPr>
                <w:t>romain.jacquet@tbwa-corporate.com</w:t>
              </w:r>
            </w:hyperlink>
            <w:r w:rsidR="005D4A2E" w:rsidRPr="00C13EFD">
              <w:rPr>
                <w:rFonts w:asciiTheme="minorHAnsi" w:hAnsiTheme="minorHAnsi" w:cs="Arial"/>
                <w:color w:val="auto"/>
                <w:szCs w:val="20"/>
              </w:rPr>
              <w:t xml:space="preserve"> </w:t>
            </w:r>
            <w:r w:rsidRPr="00C13EFD">
              <w:rPr>
                <w:rFonts w:asciiTheme="minorHAnsi" w:hAnsiTheme="minorHAnsi" w:cs="Arial"/>
                <w:color w:val="auto"/>
                <w:szCs w:val="20"/>
              </w:rPr>
              <w:t>– 06 87 28 88 37</w:t>
            </w:r>
          </w:p>
          <w:p w:rsidR="005872FC" w:rsidRPr="00C13EFD" w:rsidRDefault="005872FC">
            <w:pPr>
              <w:pStyle w:val="Sansinterligne"/>
              <w:rPr>
                <w:rFonts w:asciiTheme="minorHAnsi" w:hAnsiTheme="minorHAnsi" w:cs="Arial"/>
                <w:color w:val="auto"/>
                <w:szCs w:val="20"/>
              </w:rPr>
            </w:pPr>
          </w:p>
          <w:p w:rsidR="005872FC" w:rsidRPr="00C13EFD" w:rsidRDefault="005872FC">
            <w:pPr>
              <w:pStyle w:val="Sansinterligne"/>
              <w:rPr>
                <w:rFonts w:asciiTheme="minorHAnsi" w:hAnsiTheme="minorHAnsi" w:cs="Arial"/>
                <w:color w:val="auto"/>
                <w:szCs w:val="20"/>
              </w:rPr>
            </w:pPr>
            <w:r w:rsidRPr="00C13EFD">
              <w:rPr>
                <w:rFonts w:asciiTheme="minorHAnsi" w:hAnsiTheme="minorHAnsi" w:cs="Arial"/>
                <w:color w:val="auto"/>
                <w:szCs w:val="20"/>
              </w:rPr>
              <w:t>Contact Presse AP-HM</w:t>
            </w:r>
          </w:p>
          <w:p w:rsidR="005872FC" w:rsidRPr="00C13EFD" w:rsidRDefault="005872FC">
            <w:pPr>
              <w:pStyle w:val="Sansinterligne"/>
              <w:rPr>
                <w:rFonts w:asciiTheme="minorHAnsi" w:hAnsiTheme="minorHAnsi" w:cs="Arial"/>
                <w:color w:val="auto"/>
                <w:szCs w:val="20"/>
              </w:rPr>
            </w:pPr>
            <w:r w:rsidRPr="00C13EFD">
              <w:rPr>
                <w:rFonts w:asciiTheme="minorHAnsi" w:hAnsiTheme="minorHAnsi" w:cs="Arial"/>
                <w:color w:val="auto"/>
                <w:szCs w:val="20"/>
              </w:rPr>
              <w:t xml:space="preserve">Caroline </w:t>
            </w:r>
            <w:proofErr w:type="spellStart"/>
            <w:r w:rsidRPr="00C13EFD">
              <w:rPr>
                <w:rFonts w:asciiTheme="minorHAnsi" w:hAnsiTheme="minorHAnsi" w:cs="Arial"/>
                <w:color w:val="auto"/>
                <w:szCs w:val="20"/>
              </w:rPr>
              <w:t>Péragut</w:t>
            </w:r>
            <w:proofErr w:type="spellEnd"/>
            <w:r w:rsidRPr="00C13EFD">
              <w:rPr>
                <w:rFonts w:asciiTheme="minorHAnsi" w:hAnsiTheme="minorHAnsi" w:cs="Arial"/>
                <w:color w:val="auto"/>
                <w:szCs w:val="20"/>
              </w:rPr>
              <w:t xml:space="preserve"> – </w:t>
            </w:r>
            <w:hyperlink r:id="rId11" w:history="1">
              <w:r w:rsidRPr="00C13EFD">
                <w:rPr>
                  <w:rStyle w:val="Lienhypertexte"/>
                  <w:rFonts w:asciiTheme="minorHAnsi" w:hAnsiTheme="minorHAnsi" w:cs="Arial"/>
                  <w:szCs w:val="20"/>
                </w:rPr>
                <w:t>caroline.peragut@ap-hm.fr</w:t>
              </w:r>
            </w:hyperlink>
            <w:r w:rsidRPr="00C13EFD">
              <w:rPr>
                <w:rFonts w:asciiTheme="minorHAnsi" w:hAnsiTheme="minorHAnsi" w:cs="Arial"/>
                <w:color w:val="auto"/>
                <w:szCs w:val="20"/>
              </w:rPr>
              <w:t xml:space="preserve"> – 06 38 68 86 87</w:t>
            </w:r>
          </w:p>
        </w:tc>
      </w:tr>
    </w:tbl>
    <w:p w:rsidR="00D15749" w:rsidRPr="00C13EFD" w:rsidRDefault="00D15749" w:rsidP="0060360E">
      <w:pPr>
        <w:rPr>
          <w:rFonts w:asciiTheme="minorHAnsi" w:eastAsiaTheme="majorEastAsia" w:hAnsiTheme="minorHAnsi" w:cstheme="majorBidi"/>
          <w:color w:val="45B2C8"/>
          <w:sz w:val="20"/>
          <w:szCs w:val="20"/>
        </w:rPr>
      </w:pPr>
    </w:p>
    <w:p w:rsidR="0060360E" w:rsidRPr="00C13EFD" w:rsidRDefault="0060360E" w:rsidP="0060360E">
      <w:pPr>
        <w:rPr>
          <w:rFonts w:asciiTheme="minorHAnsi" w:eastAsiaTheme="majorEastAsia" w:hAnsiTheme="minorHAnsi" w:cstheme="majorBidi"/>
          <w:color w:val="45B2C8"/>
          <w:sz w:val="20"/>
          <w:szCs w:val="20"/>
        </w:rPr>
      </w:pPr>
    </w:p>
    <w:p w:rsidR="0060360E" w:rsidRPr="00C13EFD" w:rsidRDefault="0060360E" w:rsidP="0060360E">
      <w:pPr>
        <w:rPr>
          <w:rFonts w:asciiTheme="minorHAnsi" w:eastAsiaTheme="majorEastAsia" w:hAnsiTheme="minorHAnsi" w:cstheme="majorBidi"/>
          <w:color w:val="45B2C8"/>
          <w:sz w:val="20"/>
          <w:szCs w:val="20"/>
        </w:rPr>
      </w:pPr>
    </w:p>
    <w:p w:rsidR="0060360E" w:rsidRPr="006B43B6" w:rsidRDefault="0060360E" w:rsidP="0060360E">
      <w:pPr>
        <w:rPr>
          <w:rFonts w:asciiTheme="minorHAnsi" w:eastAsiaTheme="majorEastAsia" w:hAnsiTheme="minorHAnsi" w:cstheme="majorBidi"/>
          <w:color w:val="45B2C8"/>
          <w:sz w:val="22"/>
        </w:rPr>
      </w:pPr>
    </w:p>
    <w:p w:rsidR="0060360E" w:rsidRPr="006B43B6" w:rsidRDefault="0060360E" w:rsidP="0060360E">
      <w:pPr>
        <w:rPr>
          <w:rFonts w:asciiTheme="minorHAnsi" w:eastAsiaTheme="majorEastAsia" w:hAnsiTheme="minorHAnsi" w:cstheme="majorBidi"/>
          <w:color w:val="45B2C8"/>
          <w:sz w:val="22"/>
        </w:rPr>
      </w:pPr>
    </w:p>
    <w:p w:rsidR="0060360E" w:rsidRPr="006B43B6" w:rsidRDefault="0060360E" w:rsidP="0060360E">
      <w:pPr>
        <w:rPr>
          <w:rFonts w:asciiTheme="minorHAnsi" w:eastAsiaTheme="majorEastAsia" w:hAnsiTheme="minorHAnsi" w:cstheme="majorBidi"/>
          <w:color w:val="45B2C8"/>
          <w:sz w:val="22"/>
        </w:rPr>
      </w:pPr>
    </w:p>
    <w:p w:rsidR="0060360E" w:rsidRPr="006B43B6" w:rsidRDefault="0060360E" w:rsidP="0060360E">
      <w:pPr>
        <w:rPr>
          <w:rFonts w:asciiTheme="minorHAnsi" w:eastAsiaTheme="majorEastAsia" w:hAnsiTheme="minorHAnsi" w:cstheme="majorBidi"/>
          <w:color w:val="45B2C8"/>
          <w:sz w:val="22"/>
        </w:rPr>
      </w:pPr>
    </w:p>
    <w:p w:rsidR="0060360E" w:rsidRPr="006B43B6" w:rsidRDefault="0060360E" w:rsidP="0060360E">
      <w:pPr>
        <w:rPr>
          <w:rFonts w:asciiTheme="minorHAnsi" w:eastAsiaTheme="majorEastAsia" w:hAnsiTheme="minorHAnsi" w:cstheme="majorBidi"/>
          <w:color w:val="45B2C8"/>
          <w:sz w:val="22"/>
        </w:rPr>
      </w:pPr>
    </w:p>
    <w:p w:rsidR="0060360E" w:rsidRPr="006B43B6" w:rsidRDefault="0060360E" w:rsidP="0060360E">
      <w:pPr>
        <w:rPr>
          <w:rFonts w:asciiTheme="minorHAnsi" w:eastAsiaTheme="majorEastAsia" w:hAnsiTheme="minorHAnsi" w:cstheme="majorBidi"/>
          <w:color w:val="45B2C8"/>
          <w:sz w:val="22"/>
        </w:rPr>
      </w:pPr>
    </w:p>
    <w:p w:rsidR="0060360E" w:rsidRPr="006B43B6" w:rsidRDefault="0060360E" w:rsidP="0060360E">
      <w:pPr>
        <w:rPr>
          <w:rFonts w:asciiTheme="minorHAnsi" w:eastAsiaTheme="majorEastAsia" w:hAnsiTheme="minorHAnsi" w:cstheme="majorBidi"/>
          <w:color w:val="45B2C8"/>
          <w:sz w:val="22"/>
        </w:rPr>
      </w:pPr>
    </w:p>
    <w:p w:rsidR="0060360E" w:rsidRPr="006B43B6" w:rsidRDefault="0060360E" w:rsidP="0060360E">
      <w:pPr>
        <w:rPr>
          <w:rFonts w:asciiTheme="minorHAnsi" w:eastAsiaTheme="majorEastAsia" w:hAnsiTheme="minorHAnsi" w:cstheme="majorBidi"/>
          <w:color w:val="45B2C8"/>
          <w:sz w:val="22"/>
        </w:rPr>
      </w:pPr>
    </w:p>
    <w:p w:rsidR="0060360E" w:rsidRPr="006B43B6" w:rsidRDefault="0060360E" w:rsidP="0060360E">
      <w:pPr>
        <w:rPr>
          <w:rFonts w:asciiTheme="minorHAnsi" w:eastAsiaTheme="majorEastAsia" w:hAnsiTheme="minorHAnsi" w:cstheme="majorBidi"/>
          <w:color w:val="45B2C8"/>
          <w:sz w:val="22"/>
        </w:rPr>
      </w:pPr>
    </w:p>
    <w:sectPr w:rsidR="0060360E" w:rsidRPr="006B43B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708" w:rsidRDefault="002F7708" w:rsidP="006A22B5">
      <w:r>
        <w:separator/>
      </w:r>
    </w:p>
  </w:endnote>
  <w:endnote w:type="continuationSeparator" w:id="0">
    <w:p w:rsidR="002F7708" w:rsidRDefault="002F7708" w:rsidP="006A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80000067" w:usb1="00000000" w:usb2="00000000" w:usb3="00000000" w:csb0="00000001" w:csb1="00000000"/>
  </w:font>
  <w:font w:name="TradeGothic Bold">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B5" w:rsidRDefault="006A22B5">
    <w:pPr>
      <w:pStyle w:val="Pieddepage"/>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ad1d4eb393997e431887d365"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A22B5" w:rsidRPr="006A22B5" w:rsidRDefault="006A22B5" w:rsidP="006A22B5">
                          <w:pPr>
                            <w:rPr>
                              <w:rFonts w:ascii="Calibri" w:hAnsi="Calibri"/>
                              <w:color w:val="A80000"/>
                              <w:sz w:val="20"/>
                            </w:rPr>
                          </w:pPr>
                          <w:r w:rsidRPr="006A22B5">
                            <w:rPr>
                              <w:rFonts w:ascii="Calibri" w:hAnsi="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d1d4eb393997e431887d365" o:spid="_x0000_s1026" type="#_x0000_t202" alt="{&quot;HashCode&quot;:9679731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MO3BLYdAwAANgYAAA4AAAAAAAAA&#10;AAAAAAAALgIAAGRycy9lMm9Eb2MueG1sUEsBAi0AFAAGAAgAAAAhAGARxibeAAAACwEAAA8AAAAA&#10;AAAAAAAAAAAAdwUAAGRycy9kb3ducmV2LnhtbFBLBQYAAAAABAAEAPMAAACCBgAAAAA=&#10;" o:allowincell="f" filled="f" stroked="f" strokeweight=".5pt">
              <v:fill o:detectmouseclick="t"/>
              <v:textbox inset="20pt,0,,0">
                <w:txbxContent>
                  <w:p w:rsidR="006A22B5" w:rsidRPr="006A22B5" w:rsidRDefault="006A22B5" w:rsidP="006A22B5">
                    <w:pPr>
                      <w:rPr>
                        <w:rFonts w:ascii="Calibri" w:hAnsi="Calibri"/>
                        <w:color w:val="A80000"/>
                        <w:sz w:val="20"/>
                      </w:rPr>
                    </w:pPr>
                    <w:r w:rsidRPr="006A22B5">
                      <w:rPr>
                        <w:rFonts w:ascii="Calibri" w:hAnsi="Calibri"/>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708" w:rsidRDefault="002F7708" w:rsidP="006A22B5">
      <w:r>
        <w:separator/>
      </w:r>
    </w:p>
  </w:footnote>
  <w:footnote w:type="continuationSeparator" w:id="0">
    <w:p w:rsidR="002F7708" w:rsidRDefault="002F7708" w:rsidP="006A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6488"/>
    <w:multiLevelType w:val="hybridMultilevel"/>
    <w:tmpl w:val="15A26C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4AE7EF6"/>
    <w:multiLevelType w:val="hybridMultilevel"/>
    <w:tmpl w:val="C5EA498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548F265A"/>
    <w:multiLevelType w:val="hybridMultilevel"/>
    <w:tmpl w:val="CDA834CA"/>
    <w:lvl w:ilvl="0" w:tplc="0F86FAD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76747E"/>
    <w:multiLevelType w:val="hybridMultilevel"/>
    <w:tmpl w:val="889A163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0E"/>
    <w:rsid w:val="00004F6F"/>
    <w:rsid w:val="000C440E"/>
    <w:rsid w:val="002F7708"/>
    <w:rsid w:val="003166A2"/>
    <w:rsid w:val="003C3E26"/>
    <w:rsid w:val="005872FC"/>
    <w:rsid w:val="005D4A2E"/>
    <w:rsid w:val="0060360E"/>
    <w:rsid w:val="006A22B5"/>
    <w:rsid w:val="006B43B6"/>
    <w:rsid w:val="008B3355"/>
    <w:rsid w:val="008D39CB"/>
    <w:rsid w:val="008F4AF6"/>
    <w:rsid w:val="00C13EFD"/>
    <w:rsid w:val="00CD2B9B"/>
    <w:rsid w:val="00D15749"/>
    <w:rsid w:val="00D56924"/>
    <w:rsid w:val="00E439D8"/>
    <w:rsid w:val="00F905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7BF88"/>
  <w15:chartTrackingRefBased/>
  <w15:docId w15:val="{F2A055DC-5D54-417E-A5FB-16EF0466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60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360E"/>
    <w:rPr>
      <w:color w:val="0563C1" w:themeColor="hyperlink"/>
      <w:u w:val="single"/>
    </w:rPr>
  </w:style>
  <w:style w:type="table" w:styleId="Grilledutableau">
    <w:name w:val="Table Grid"/>
    <w:basedOn w:val="TableauNormal"/>
    <w:uiPriority w:val="59"/>
    <w:rsid w:val="0060360E"/>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A propos"/>
    <w:uiPriority w:val="1"/>
    <w:qFormat/>
    <w:rsid w:val="0060360E"/>
    <w:pPr>
      <w:spacing w:after="0" w:line="240" w:lineRule="auto"/>
    </w:pPr>
    <w:rPr>
      <w:rFonts w:ascii="Helvetica Neue" w:eastAsia="Calibri" w:hAnsi="Helvetica Neue" w:cs="Times New Roman"/>
      <w:color w:val="808080" w:themeColor="background1" w:themeShade="80"/>
      <w:sz w:val="20"/>
    </w:rPr>
  </w:style>
  <w:style w:type="paragraph" w:styleId="Titre">
    <w:name w:val="Title"/>
    <w:basedOn w:val="Normal"/>
    <w:next w:val="Normal"/>
    <w:link w:val="TitreCar"/>
    <w:qFormat/>
    <w:rsid w:val="008F4AF6"/>
    <w:pPr>
      <w:contextualSpacing/>
      <w:jc w:val="both"/>
    </w:pPr>
    <w:rPr>
      <w:rFonts w:ascii="Helvetica Neue" w:eastAsiaTheme="majorEastAsia" w:hAnsi="Helvetica Neue" w:cstheme="majorBidi"/>
      <w:spacing w:val="-10"/>
      <w:kern w:val="28"/>
      <w:sz w:val="40"/>
      <w:szCs w:val="56"/>
    </w:rPr>
  </w:style>
  <w:style w:type="character" w:customStyle="1" w:styleId="TitreCar">
    <w:name w:val="Titre Car"/>
    <w:basedOn w:val="Policepardfaut"/>
    <w:link w:val="Titre"/>
    <w:rsid w:val="008F4AF6"/>
    <w:rPr>
      <w:rFonts w:ascii="Helvetica Neue" w:eastAsiaTheme="majorEastAsia" w:hAnsi="Helvetica Neue" w:cstheme="majorBidi"/>
      <w:spacing w:val="-10"/>
      <w:kern w:val="28"/>
      <w:sz w:val="40"/>
      <w:szCs w:val="56"/>
      <w:lang w:eastAsia="fr-FR"/>
    </w:rPr>
  </w:style>
  <w:style w:type="paragraph" w:styleId="Sous-titre">
    <w:name w:val="Subtitle"/>
    <w:aliases w:val="Chapeau"/>
    <w:basedOn w:val="Normal"/>
    <w:next w:val="Normal"/>
    <w:link w:val="Sous-titreCar"/>
    <w:qFormat/>
    <w:rsid w:val="008F4AF6"/>
    <w:pPr>
      <w:numPr>
        <w:ilvl w:val="1"/>
      </w:numPr>
      <w:spacing w:after="40"/>
      <w:jc w:val="both"/>
    </w:pPr>
    <w:rPr>
      <w:rFonts w:ascii="Helvetica Neue" w:eastAsiaTheme="minorEastAsia" w:hAnsi="Helvetica Neue" w:cstheme="minorBidi"/>
      <w:color w:val="808080" w:themeColor="background1" w:themeShade="80"/>
      <w:spacing w:val="15"/>
      <w:sz w:val="22"/>
      <w:szCs w:val="22"/>
    </w:rPr>
  </w:style>
  <w:style w:type="character" w:customStyle="1" w:styleId="Sous-titreCar">
    <w:name w:val="Sous-titre Car"/>
    <w:aliases w:val="Chapeau Car"/>
    <w:basedOn w:val="Policepardfaut"/>
    <w:link w:val="Sous-titre"/>
    <w:rsid w:val="008F4AF6"/>
    <w:rPr>
      <w:rFonts w:ascii="Helvetica Neue" w:eastAsiaTheme="minorEastAsia" w:hAnsi="Helvetica Neue"/>
      <w:color w:val="808080" w:themeColor="background1" w:themeShade="80"/>
      <w:spacing w:val="15"/>
      <w:lang w:eastAsia="fr-FR"/>
    </w:rPr>
  </w:style>
  <w:style w:type="character" w:customStyle="1" w:styleId="A0">
    <w:name w:val="A0"/>
    <w:uiPriority w:val="99"/>
    <w:rsid w:val="008F4AF6"/>
    <w:rPr>
      <w:rFonts w:cs="TradeGothic Bold"/>
      <w:color w:val="57585A"/>
      <w:sz w:val="20"/>
      <w:szCs w:val="20"/>
    </w:rPr>
  </w:style>
  <w:style w:type="paragraph" w:styleId="Paragraphedeliste">
    <w:name w:val="List Paragraph"/>
    <w:basedOn w:val="Normal"/>
    <w:uiPriority w:val="34"/>
    <w:qFormat/>
    <w:rsid w:val="00D15749"/>
    <w:pPr>
      <w:ind w:left="720"/>
      <w:contextualSpacing/>
    </w:pPr>
  </w:style>
  <w:style w:type="paragraph" w:styleId="Rvision">
    <w:name w:val="Revision"/>
    <w:hidden/>
    <w:uiPriority w:val="99"/>
    <w:semiHidden/>
    <w:rsid w:val="00CD2B9B"/>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D2B9B"/>
    <w:rPr>
      <w:sz w:val="18"/>
      <w:szCs w:val="18"/>
    </w:rPr>
  </w:style>
  <w:style w:type="character" w:customStyle="1" w:styleId="TextedebullesCar">
    <w:name w:val="Texte de bulles Car"/>
    <w:basedOn w:val="Policepardfaut"/>
    <w:link w:val="Textedebulles"/>
    <w:uiPriority w:val="99"/>
    <w:semiHidden/>
    <w:rsid w:val="00CD2B9B"/>
    <w:rPr>
      <w:rFonts w:ascii="Times New Roman" w:eastAsia="Times New Roman" w:hAnsi="Times New Roman" w:cs="Times New Roman"/>
      <w:sz w:val="18"/>
      <w:szCs w:val="18"/>
      <w:lang w:eastAsia="fr-FR"/>
    </w:rPr>
  </w:style>
  <w:style w:type="character" w:customStyle="1" w:styleId="Mentionnonrsolue1">
    <w:name w:val="Mention non résolue1"/>
    <w:basedOn w:val="Policepardfaut"/>
    <w:uiPriority w:val="99"/>
    <w:semiHidden/>
    <w:unhideWhenUsed/>
    <w:rsid w:val="005D4A2E"/>
    <w:rPr>
      <w:color w:val="605E5C"/>
      <w:shd w:val="clear" w:color="auto" w:fill="E1DFDD"/>
    </w:rPr>
  </w:style>
  <w:style w:type="paragraph" w:styleId="En-tte">
    <w:name w:val="header"/>
    <w:basedOn w:val="Normal"/>
    <w:link w:val="En-tteCar"/>
    <w:uiPriority w:val="99"/>
    <w:unhideWhenUsed/>
    <w:rsid w:val="006A22B5"/>
    <w:pPr>
      <w:tabs>
        <w:tab w:val="center" w:pos="4536"/>
        <w:tab w:val="right" w:pos="9072"/>
      </w:tabs>
    </w:pPr>
  </w:style>
  <w:style w:type="character" w:customStyle="1" w:styleId="En-tteCar">
    <w:name w:val="En-tête Car"/>
    <w:basedOn w:val="Policepardfaut"/>
    <w:link w:val="En-tte"/>
    <w:uiPriority w:val="99"/>
    <w:rsid w:val="006A22B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A22B5"/>
    <w:pPr>
      <w:tabs>
        <w:tab w:val="center" w:pos="4536"/>
        <w:tab w:val="right" w:pos="9072"/>
      </w:tabs>
    </w:pPr>
  </w:style>
  <w:style w:type="character" w:customStyle="1" w:styleId="PieddepageCar">
    <w:name w:val="Pied de page Car"/>
    <w:basedOn w:val="Policepardfaut"/>
    <w:link w:val="Pieddepage"/>
    <w:uiPriority w:val="99"/>
    <w:rsid w:val="006A22B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7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oline.peragut@ap-hm.fr" TargetMode="External"/><Relationship Id="rId5" Type="http://schemas.openxmlformats.org/officeDocument/2006/relationships/footnotes" Target="footnotes.xml"/><Relationship Id="rId10" Type="http://schemas.openxmlformats.org/officeDocument/2006/relationships/hyperlink" Target="mailto:romain.jacquet@tbwa-corporate.com" TargetMode="External"/><Relationship Id="rId4" Type="http://schemas.openxmlformats.org/officeDocument/2006/relationships/webSettings" Target="webSettings.xml"/><Relationship Id="rId9" Type="http://schemas.openxmlformats.org/officeDocument/2006/relationships/hyperlink" Target="https://www.legifrance.gouv.fr/affichTexte.do?cidTexte=LEGITEXT000006053646&amp;dateTexte=20090126"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580</Words>
  <Characters>3195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APHM</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ap</cp:lastModifiedBy>
  <cp:revision>7</cp:revision>
  <cp:lastPrinted>2019-05-09T08:12:00Z</cp:lastPrinted>
  <dcterms:created xsi:type="dcterms:W3CDTF">2019-05-09T08:11:00Z</dcterms:created>
  <dcterms:modified xsi:type="dcterms:W3CDTF">2019-05-10T10:18:00Z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Owner">
    <vt:lpwstr>Nelly.Bellanger@caissedesdepots.fr</vt:lpwstr>
  </property>
  <property fmtid="{D5CDD505-2E9C-101B-9397-08002B2CF9AE}" pid="5" name="MSIP_Label_526b0da4-3db3-477f-aae7-ffa237cfc891_SetDate">
    <vt:lpwstr>2019-05-10T14:56:45.2082122Z</vt:lpwstr>
  </property>
  <property fmtid="{D5CDD505-2E9C-101B-9397-08002B2CF9AE}" pid="6" name="MSIP_Label_526b0da4-3db3-477f-aae7-ffa237cfc891_Name">
    <vt:lpwstr>CDC-Interne</vt:lpwstr>
  </property>
  <property fmtid="{D5CDD505-2E9C-101B-9397-08002B2CF9AE}" pid="7" name="MSIP_Label_526b0da4-3db3-477f-aae7-ffa237cfc891_Application">
    <vt:lpwstr>Microsoft Azure Information Protection</vt:lpwstr>
  </property>
  <property fmtid="{D5CDD505-2E9C-101B-9397-08002B2CF9AE}" pid="8" name="MSIP_Label_526b0da4-3db3-477f-aae7-ffa237cfc891_Extended_MSFT_Method">
    <vt:lpwstr>Automatic</vt:lpwstr>
  </property>
  <property fmtid="{D5CDD505-2E9C-101B-9397-08002B2CF9AE}" pid="9" name="MSIP_Label_1387ec98-8aff-418c-9455-dc857e1ea7dc_Enabled">
    <vt:lpwstr>True</vt:lpwstr>
  </property>
  <property fmtid="{D5CDD505-2E9C-101B-9397-08002B2CF9AE}" pid="10" name="MSIP_Label_1387ec98-8aff-418c-9455-dc857e1ea7dc_SiteId">
    <vt:lpwstr>6eab6365-8194-49c6-a4d0-e2d1a0fbeb74</vt:lpwstr>
  </property>
  <property fmtid="{D5CDD505-2E9C-101B-9397-08002B2CF9AE}" pid="11" name="MSIP_Label_1387ec98-8aff-418c-9455-dc857e1ea7dc_Owner">
    <vt:lpwstr>Nelly.Bellanger@caissedesdepots.fr</vt:lpwstr>
  </property>
  <property fmtid="{D5CDD505-2E9C-101B-9397-08002B2CF9AE}" pid="12" name="MSIP_Label_1387ec98-8aff-418c-9455-dc857e1ea7dc_SetDate">
    <vt:lpwstr>2019-05-10T14:56:45.2082122Z</vt:lpwstr>
  </property>
  <property fmtid="{D5CDD505-2E9C-101B-9397-08002B2CF9AE}" pid="13" name="MSIP_Label_1387ec98-8aff-418c-9455-dc857e1ea7dc_Name">
    <vt:lpwstr>Avec marquage</vt:lpwstr>
  </property>
  <property fmtid="{D5CDD505-2E9C-101B-9397-08002B2CF9AE}" pid="14" name="MSIP_Label_1387ec98-8aff-418c-9455-dc857e1ea7dc_Application">
    <vt:lpwstr>Microsoft Azure Information Protection</vt:lpwstr>
  </property>
  <property fmtid="{D5CDD505-2E9C-101B-9397-08002B2CF9AE}" pid="15" name="MSIP_Label_1387ec98-8aff-418c-9455-dc857e1ea7dc_Parent">
    <vt:lpwstr>526b0da4-3db3-477f-aae7-ffa237cfc891</vt:lpwstr>
  </property>
  <property fmtid="{D5CDD505-2E9C-101B-9397-08002B2CF9AE}" pid="16" name="MSIP_Label_1387ec98-8aff-418c-9455-dc857e1ea7dc_Extended_MSFT_Method">
    <vt:lpwstr>Automatic</vt:lpwstr>
  </property>
  <property fmtid="{D5CDD505-2E9C-101B-9397-08002B2CF9AE}" pid="17" name="Sensitivity">
    <vt:lpwstr>CDC-Interne Avec marquage</vt:lpwstr>
  </property>
</Properties>
</file>